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161" w:after="161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33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33"/>
          <w:shd w:fill="FFFFFF" w:val="clear"/>
        </w:rPr>
        <w:t xml:space="preserve">Методические указания МУ 3.1.2.4066-24 "Эпидемиологический надзор за коклюшной инфекцией" (утв. Федеральной службой по надзору в сфере защиты прав потребителей и благополучия человека 28</w:t>
      </w: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3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33"/>
          <w:shd w:fill="FFFFFF" w:val="clear"/>
        </w:rPr>
        <w:t xml:space="preserve">сентября 2024</w:t>
      </w: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33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33"/>
          <w:shd w:fill="FFFFFF" w:val="clear"/>
        </w:rPr>
        <w:t xml:space="preserve">г.)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22272F"/>
          <w:spacing w:val="0"/>
          <w:position w:val="0"/>
          <w:sz w:val="18"/>
          <w:shd w:fill="FFFFFF" w:val="clear"/>
        </w:rPr>
      </w:pPr>
      <w:r>
        <w:rPr>
          <w:rFonts w:ascii="Times New Roman" w:hAnsi="Times New Roman" w:cs="Times New Roman" w:eastAsia="Times New Roman"/>
          <w:color w:val="22272F"/>
          <w:spacing w:val="0"/>
          <w:position w:val="0"/>
          <w:sz w:val="18"/>
          <w:shd w:fill="FFFFFF" w:val="clear"/>
        </w:rPr>
        <w:t xml:space="preserve">14 </w:t>
      </w:r>
      <w:r>
        <w:rPr>
          <w:rFonts w:ascii="Times New Roman" w:hAnsi="Times New Roman" w:cs="Times New Roman" w:eastAsia="Times New Roman"/>
          <w:color w:val="22272F"/>
          <w:spacing w:val="0"/>
          <w:position w:val="0"/>
          <w:sz w:val="18"/>
          <w:shd w:fill="FFFFFF" w:val="clear"/>
        </w:rPr>
        <w:t xml:space="preserve">ноября 2024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  <w:t xml:space="preserve">Методические указания МУ 3.1.2.4066-24</w:t>
        <w:br/>
      </w: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  <w:t xml:space="preserve">Эпидемиологический надзор за коклюшной инфекцией"</w:t>
        <w:br/>
      </w: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  <w:t xml:space="preserve">утв. Федеральной службой по надзору в сфере защиты прав потребителей и благополучия человека 28</w:t>
      </w: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  <w:t xml:space="preserve">сентября 2024</w:t>
      </w: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  <w:t xml:space="preserve">г.)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взамен МУ 3.1.2.2160-07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  <w:t xml:space="preserve">I. </w:t>
      </w: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  <w:t xml:space="preserve">Область применения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1.1.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Настоящие методические указания (далее - МУ) описывают основные принципы организации и алгоритм проведения эпидемиологического надзора и санитарно-противоэпидемических (профилактических) мероприятий в отношении коклюша.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1.2.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Настоящие МУ предназначены для специалистов органов и организаций, осуществляющих федеральный государственный санитарно-эпидемиологический контроль (надзор) в отношении коклюшной инфекции, а также могут быть использованы специалистами научно-исследовательских, образовательных и медицинских организаций в целях обеспечения санитарно-эпидемиологического благополучия по коклюшу.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  <w:t xml:space="preserve">II. </w:t>
      </w: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  <w:t xml:space="preserve">Общие положения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2.1.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Коклюш представляет собой острое инфекционное заболевание с воздушно-капельным путем передачи, специфическим судорожным приступообразным кашлем и циклическим затяжным течением.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2.2.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Основным источником инфекции является больной (дети и взрослые) типичной и атипичной формами коклюша, а также здоровые бактерионосители. Длительность бактерионосительства не изучена. Передача возбудителя осуществляется через воздух с мельчайшими капельками слизи при разговоре, крике, плаче, чихании, кашле. У инфицированного возбудитель выделяется наиболее интенсивно в катаральном периоде и периоде спазматического кашля, далее интенсивность выделения возбудителя постепенно снижается и к 25-му дню больной коклюшем становится незаразным.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2.3.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Возбудитель коклюша - бактерия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464C55"/>
          <w:spacing w:val="0"/>
          <w:position w:val="0"/>
          <w:sz w:val="24"/>
          <w:shd w:fill="FFFFFF" w:val="clear"/>
        </w:rPr>
        <w:t xml:space="preserve">Bordetella pertussis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далее -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464C55"/>
          <w:spacing w:val="0"/>
          <w:position w:val="0"/>
          <w:sz w:val="24"/>
          <w:shd w:fill="FFFFFF" w:val="clear"/>
        </w:rPr>
        <w:t xml:space="preserve">В. Pertussis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) способна активно продуцировать большие количества экзотоксина (коклюшного токсина), вызывающего характерную клиническую картину коклюшной инфекции. К настоящему времени изучено 12 представителей рода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464C55"/>
          <w:spacing w:val="0"/>
          <w:position w:val="0"/>
          <w:sz w:val="24"/>
          <w:shd w:fill="FFFFFF" w:val="clear"/>
        </w:rPr>
        <w:t xml:space="preserve">Bordetella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из которых 5 являются клинически значимыми патогенами для человека (</w:t>
      </w:r>
      <w:r>
        <w:rPr>
          <w:rFonts w:ascii="Times New Roman" w:hAnsi="Times New Roman" w:cs="Times New Roman" w:eastAsia="Times New Roman"/>
          <w:i/>
          <w:color w:val="464C55"/>
          <w:spacing w:val="0"/>
          <w:position w:val="0"/>
          <w:sz w:val="24"/>
          <w:shd w:fill="FFFFFF" w:val="clear"/>
        </w:rPr>
        <w:t xml:space="preserve">В. pertussis, Bordetella parapertussis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далее -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464C55"/>
          <w:spacing w:val="0"/>
          <w:position w:val="0"/>
          <w:sz w:val="24"/>
          <w:shd w:fill="FFFFFF" w:val="clear"/>
        </w:rPr>
        <w:t xml:space="preserve">В. parapertussis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),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464C55"/>
          <w:spacing w:val="0"/>
          <w:position w:val="0"/>
          <w:sz w:val="24"/>
          <w:shd w:fill="FFFFFF" w:val="clear"/>
        </w:rPr>
        <w:t xml:space="preserve">Bordetella bronchiseptica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далее -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464C55"/>
          <w:spacing w:val="0"/>
          <w:position w:val="0"/>
          <w:sz w:val="24"/>
          <w:shd w:fill="FFFFFF" w:val="clear"/>
        </w:rPr>
        <w:t xml:space="preserve">В. bronchiseptica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),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464C55"/>
          <w:spacing w:val="0"/>
          <w:position w:val="0"/>
          <w:sz w:val="24"/>
          <w:shd w:fill="FFFFFF" w:val="clear"/>
        </w:rPr>
        <w:t xml:space="preserve">Bordetella holmesii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далее -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464C55"/>
          <w:spacing w:val="0"/>
          <w:position w:val="0"/>
          <w:sz w:val="24"/>
          <w:shd w:fill="FFFFFF" w:val="clear"/>
        </w:rPr>
        <w:t xml:space="preserve">В. holmesii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),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464C55"/>
          <w:spacing w:val="0"/>
          <w:position w:val="0"/>
          <w:sz w:val="24"/>
          <w:shd w:fill="FFFFFF" w:val="clear"/>
        </w:rPr>
        <w:t xml:space="preserve">Bordetella trematum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далее -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464C55"/>
          <w:spacing w:val="0"/>
          <w:position w:val="0"/>
          <w:sz w:val="24"/>
          <w:shd w:fill="FFFFFF" w:val="clear"/>
        </w:rPr>
        <w:t xml:space="preserve">В. trematum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).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464C55"/>
          <w:spacing w:val="0"/>
          <w:position w:val="0"/>
          <w:sz w:val="24"/>
          <w:shd w:fill="FFFFFF" w:val="clear"/>
        </w:rPr>
        <w:t xml:space="preserve">В. parapertussis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464C55"/>
          <w:spacing w:val="0"/>
          <w:position w:val="0"/>
          <w:sz w:val="24"/>
          <w:shd w:fill="FFFFFF" w:val="clear"/>
        </w:rPr>
        <w:t xml:space="preserve">В. holmesii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вызывают заболевание, по своей симптоматике напоминающее коклюш, но протекающее значительно легче.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464C55"/>
          <w:spacing w:val="0"/>
          <w:position w:val="0"/>
          <w:sz w:val="24"/>
          <w:shd w:fill="FFFFFF" w:val="clear"/>
        </w:rPr>
        <w:t xml:space="preserve">В. bronchiseptica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вызывает клиническую картину похожую на течение острой респираторной инфекции (далее - ОРИ) с приступами сухого кашля, усиливающегося перед сном.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464C55"/>
          <w:spacing w:val="0"/>
          <w:position w:val="0"/>
          <w:sz w:val="24"/>
          <w:shd w:fill="FFFFFF" w:val="clear"/>
        </w:rPr>
        <w:t xml:space="preserve">В. trematum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является возбудителем ушных и раневых инфекций [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4"/>
            <w:u w:val="single"/>
            <w:shd w:fill="FFFFFF" w:val="clear"/>
          </w:rPr>
          <w:t xml:space="preserve">9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].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2.4.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Основным сдерживающим фактором заболевания и распространения коклюша является массовая плановая вакцинопрофилактика, которая началась в СССР с 1959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г. с использованием адсорбированной коклюшно-дифтерийно-столбнячной вакцины (АКДС-вакцины) и привела к снижению заболеваемости, смертности, летальности [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4"/>
            <w:u w:val="single"/>
            <w:shd w:fill="FFFFFF" w:val="clear"/>
          </w:rPr>
          <w:t xml:space="preserve">10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].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2.5.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Особенностью эпидемического процесса коклюша является возникновение периодических подъемов заболеваемости на фоне устойчивого высокого охвата прививками детей раннего возраста, сохранение летальности не привитых детей раннего возраста, вовлечение в эпидемический процесс школьников младших классов, что объясняется недостаточной напряженностью и длительностью поствакцинального иммунитета и способствует накоплению значительного числа неиммунных лиц уже к возрасту 6 - 7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лет [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4"/>
            <w:u w:val="single"/>
            <w:shd w:fill="FFFFFF" w:val="clear"/>
          </w:rPr>
          <w:t xml:space="preserve">11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],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а также сложность выявления данной инфекции у взрослых в связи с наличием атипичных и бессимптомных форм.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2.7.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Вероятность возникновения вспышек коклюша повышается во всех возрастных группах при недостаточном охвате вакцинацией детей в декретированных возрастах в связи со снижением темпов иммунизации [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4"/>
            <w:u w:val="single"/>
            <w:shd w:fill="FFFFFF" w:val="clear"/>
          </w:rPr>
          <w:t xml:space="preserve">9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].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Для обеспечения защиты детей первых месяцев жизни от коклюша охват вакцинацией в декретированных возрастных группах должен превышать 95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% [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4"/>
            <w:u w:val="single"/>
            <w:shd w:fill="FFFFFF" w:val="clear"/>
          </w:rPr>
          <w:t xml:space="preserve">12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].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После перенесенного заболевания остается напряженный длительный иммунитет.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2.8.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У привитых лиц регистрируются легкие и стертые формы инфекции, которые диагностируются в основном молекулярно-генетическими или ретроспективно серологическими методами исследования с учетом эпидемиологического анамнеза. Большая доля заболевших пациентов, особенно старше 18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лет, не обращается за медицинской помощью, т.к. нет существенного нарушения самочувствия [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4"/>
            <w:u w:val="single"/>
            <w:shd w:fill="FFFFFF" w:val="clear"/>
          </w:rPr>
          <w:t xml:space="preserve">13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].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2.9.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Трудности диагностики по клиническим признакам на ранних стадиях заболевания обусловлены сходством симптомов и синдромов с другими бактериальными и вирусными ОРИ. При постановке диагноза врачами редко учитывается факт контакта детей с больными коклюшем и длительно кашляющими людьми, не в полной мере выполняются требования по обследованию контактировавших с больными в дошкольных образовательных и общеобразовательных организациях, семейных очагах инфекции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0"/>
            <w:u w:val="single"/>
            <w:shd w:fill="FFFFFF" w:val="clear"/>
            <w:vertAlign w:val="superscript"/>
          </w:rPr>
          <w:t xml:space="preserve">1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------------------------------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0"/>
          <w:shd w:fill="FFFFFF" w:val="clear"/>
          <w:vertAlign w:val="superscript"/>
        </w:rPr>
        <w:t xml:space="preserve">1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Пункты 2883, 2900, 2901, 2902, 2905 СанПиН 3.3686-21 "Санитарно-эпидемиологические требования по профилактике инфекционных болезней", утвержденных постановлением Главного государственного санитарного врача Российской Федерации от 28.01.2021 N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4 (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зарегистрировано Минюстом России 15.02.2021, регистрационный N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62500),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с изменениями, внесенными постановлениями Главного государственного санитарного врача Российской Федерации от 11.02.2022 N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5 (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зарегистрировано Минюстом России 01.03.2022, регистрационный N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67587);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от 25.05.2022 N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16 (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зарегистрировано Минюстом России 21.06.2022, регистрационный N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68934) (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далее - СанПиН 3.3686-21).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------------------------------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2.10.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Поздний отбор материала для проведения лабораторной диагностики бактериологическим методом, нередко после продолжительного лечения антибактериальными препаратами, сложность проведения бактериологического метода по сравнению с молекулярно-генетическим и серологическим методом лабораторной диагностики, приводят к низкой высеваемости возбудителя [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4"/>
            <w:u w:val="single"/>
            <w:shd w:fill="FFFFFF" w:val="clear"/>
          </w:rPr>
          <w:t xml:space="preserve">14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].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2.11.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Коклюшеподобные заболевания выявляются только при бактериологической и молекулярно-генетической диагностике. Сходство клинических симптомов затрудняет дифференциальную диагностику, выявление и учет [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4"/>
            <w:u w:val="single"/>
            <w:shd w:fill="FFFFFF" w:val="clear"/>
          </w:rPr>
          <w:t xml:space="preserve">15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].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2.12.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Для проведения углубленного эпидемиологического анализа рекомендуется проводить мониторинг за коклюшной инфекцией по формам, представленным в приложении 1 к настоящим МУ. Информация (заполненные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hyperlink xmlns:r="http://schemas.openxmlformats.org/officeDocument/2006/relationships" r:id="docRId9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4"/>
            <w:u w:val="single"/>
            <w:shd w:fill="FFFFFF" w:val="clear"/>
          </w:rPr>
          <w:t xml:space="preserve">таблицы 1 - 13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приложения 1 к настоящим МУ) направляется в Референс-центр по мониторингу за дифтерией и коклюшем на базе ФБУН МНИИЭМ им. Г.Н.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Габричевского Роспотребнадзора (далее - Референс-центр), ежегодно до 20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февраля следующего за отчетным годом</w:t>
      </w:r>
      <w:hyperlink xmlns:r="http://schemas.openxmlformats.org/officeDocument/2006/relationships" r:id="docRId10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0"/>
            <w:u w:val="single"/>
            <w:shd w:fill="FFFFFF" w:val="clear"/>
            <w:vertAlign w:val="superscript"/>
          </w:rPr>
          <w:t xml:space="preserve">2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------------------------------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0"/>
          <w:shd w:fill="FFFFFF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Приказ Роспотребнадзора от 01.12.2017 N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1116 "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О совершенствовании системы мониторинга, лабораторной диагностики инфекционных и паразитарных болезней и индикации ПБА в Российской Федерации"; Положение об эпидемиологическом мониторинге за инфекционными и паразитарными болезнями, утвержденное руководителем Федеральной службы по надзору в сфере защиты прав потребителей и благополучия человека 28.11.2023.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------------------------------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  <w:t xml:space="preserve">III. </w:t>
      </w: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  <w:t xml:space="preserve">Эпидемиологический надзор за коклюшем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3.1.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Эпидемиологический надзор за коклюшем представляет собой непрерывное наблюдение за динамикой эпидемического процесса коклюша, факторами и условиями, влияющими на его распространение</w:t>
      </w:r>
      <w:hyperlink xmlns:r="http://schemas.openxmlformats.org/officeDocument/2006/relationships" r:id="docRId11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0"/>
            <w:u w:val="single"/>
            <w:shd w:fill="FFFFFF" w:val="clear"/>
            <w:vertAlign w:val="superscript"/>
          </w:rPr>
          <w:t xml:space="preserve">3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------------------------------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0"/>
          <w:shd w:fill="FFFFFF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Пункт 2911 СанПиН 3.3686-21.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------------------------------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3.2.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Целью эпидемиологического надзора за коклюшем является получение объективной эпидемиологической информации и ее оценка для разработки и корректировки санитарно-противоэпидемических (профилактических) мероприятий, направленных на снижение заболеваемости, предупреждение формирования групповых заболеваний, тяжелых клинических форм коклюша и летальных исходов.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3.3.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Эпидемиологический надзор осуществляется комплексно и включает в себя: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мониторинг заболеваемости и смертности;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контроль своевременности и охвата профилактическими прививками детей в декретированных возрастных группах;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слежение за состоянием противококлюшного иммунитета (серологический мониторинг в индикаторных группах детей и популяционные исследования);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микробиологический мониторинг фенотипических и генотипических свойств возбудителей коклюша и заболеваний, обусловленных другими бордетеллами;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оценку эффективности проводимых санитарно-противоэпидемических (профилактических) мероприятий;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прогнозирование развития эпидемиологической ситуации.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  <w:t xml:space="preserve">Мониторинг заболеваемости коклюшем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3.4.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Учет заболеваемости коклюшем ведется в соответствии с санитарно-эпидемиологическими требованиями</w:t>
      </w:r>
      <w:hyperlink xmlns:r="http://schemas.openxmlformats.org/officeDocument/2006/relationships" r:id="docRId12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0"/>
            <w:u w:val="single"/>
            <w:shd w:fill="FFFFFF" w:val="clear"/>
            <w:vertAlign w:val="superscript"/>
          </w:rPr>
          <w:t xml:space="preserve">4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------------------------------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0"/>
          <w:shd w:fill="FFFFFF" w:val="clear"/>
          <w:vertAlign w:val="superscript"/>
        </w:rPr>
        <w:t xml:space="preserve">4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Пункты 24, 26, 29 СанПиН 3.3686-21.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------------------------------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3.5.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Анализ заболеваемости коклюшем проводится на основании данных эпидемиологического обследования очагов инфекции и актов эпидемиологического расследования, которые вносятся в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hyperlink xmlns:r="http://schemas.openxmlformats.org/officeDocument/2006/relationships" r:id="docRId13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4"/>
            <w:u w:val="single"/>
            <w:shd w:fill="FFFFFF" w:val="clear"/>
          </w:rPr>
          <w:t xml:space="preserve">таблицы 1 - 10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приложения 1 к настоящим МУ.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3.6.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Коклюш чаще регистрируется среди детей в возрасте от 7 до 17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лет, но наиболее опасен для детей в возрастной группе "до 1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года". Анализ распределения заболевших коклюшем по возрасту позволяет выявить недостаточно защищенные возрастные группы. Распределение заболевших по соотношению "привитых" и "не привитых лиц" позволяет оценить качество и эпидемиологическую эффективность проводимой массовой вакцинопрофилактики. Анализ клинических форм коклюша необходим для объективной оценки тяжести течения коклюша у заболевших, а также для прогнозирования возможного ухудшения эпидемиологической ситуации.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3.7.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Данные, представленные в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hyperlink xmlns:r="http://schemas.openxmlformats.org/officeDocument/2006/relationships" r:id="docRId14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4"/>
            <w:u w:val="single"/>
            <w:shd w:fill="FFFFFF" w:val="clear"/>
          </w:rPr>
          <w:t xml:space="preserve">таблице 2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приложения 1 к настоящим МУ, характеризуют сезонное распределение случаев и формирование сезонных подъемов заболеваемости коклюшем с учетом разных возрастных групп. Наличие подъемов заболеваемости в определенные периоды года позволяет оценить влияние климатических, социальных и иных факторов.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3.8.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Дети в возрасте до года являются основной группой риска тяжелого течения коклюшной инфекции и летальных исходов данного заболевания. Оценка структуры заболевших в данной возрастной группе по месяцам жизни позволяет судить о возрасте детей, наиболее уязвимом к коклюшу. Оценка прививочного анамнеза заболевших в данной возрастной группе позволяет сделать вывод об эпидемиологической эффективности вакцинации. Дети на первом году жизни являются наименее социально активной группой населения. Доля установленных источников инфекции для этой возрастной группы (</w:t>
      </w:r>
      <w:hyperlink xmlns:r="http://schemas.openxmlformats.org/officeDocument/2006/relationships" r:id="docRId15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4"/>
            <w:u w:val="single"/>
            <w:shd w:fill="FFFFFF" w:val="clear"/>
          </w:rPr>
          <w:t xml:space="preserve">таблица 3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приложения 1 к настоящим МУ), позволяет судить о качестве проводимого эпидемиологического расследования и выявить основные источники заражения для корректировки санитарно-противоэпидемических (профилактических) мероприятий.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3.9.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Среди взрослых группой повышенного риска инфицирования являются медицинские работники, работники транспорта, сферы обслуживания, сотрудники организаций, осуществляющих образовательную деятельность, учреждений дополнительного образования и кружков, спортивных секций, летних оздоровительных учреждений и учащиеся образовательных организаций высшего образования (ВУЗов). Анализ распределения заболеваемости в различных социальных группах населения, приведенных в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hyperlink xmlns:r="http://schemas.openxmlformats.org/officeDocument/2006/relationships" r:id="docRId16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4"/>
            <w:u w:val="single"/>
            <w:shd w:fill="FFFFFF" w:val="clear"/>
          </w:rPr>
          <w:t xml:space="preserve">таблице 4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приложения 1 к настоящим МУ, позволяет выявить наиболее неблагополучные группы, с целью дальнейшей профилактики коклюшной инфекции.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3.10.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Срок постановки диагноза коклюша, прошедший от момента обращения за медицинской помощью (</w:t>
      </w:r>
      <w:hyperlink xmlns:r="http://schemas.openxmlformats.org/officeDocument/2006/relationships" r:id="docRId17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4"/>
            <w:u w:val="single"/>
            <w:shd w:fill="FFFFFF" w:val="clear"/>
          </w:rPr>
          <w:t xml:space="preserve">таблица 5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приложения 1 к настоящим МУ) характеризует настороженность медицинских работников и позволяет косвенно судить о своевременности проводимых санитарно-противоэпидемических (профилактических) мероприятий в очагах инфекции</w:t>
      </w:r>
      <w:hyperlink xmlns:r="http://schemas.openxmlformats.org/officeDocument/2006/relationships" r:id="docRId18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0"/>
            <w:u w:val="single"/>
            <w:shd w:fill="FFFFFF" w:val="clear"/>
            <w:vertAlign w:val="superscript"/>
          </w:rPr>
          <w:t xml:space="preserve">5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------------------------------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0"/>
          <w:shd w:fill="FFFFFF" w:val="clear"/>
          <w:vertAlign w:val="superscript"/>
        </w:rPr>
        <w:t xml:space="preserve">5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Пункт 2883 СанПиН 3.3686-21.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------------------------------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3.11.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О чувствительности эпидемиологического надзора позволяют судить: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доля лабораторно подтвержденных случаев заболевания (</w:t>
      </w:r>
      <w:hyperlink xmlns:r="http://schemas.openxmlformats.org/officeDocument/2006/relationships" r:id="docRId19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4"/>
            <w:u w:val="single"/>
            <w:shd w:fill="FFFFFF" w:val="clear"/>
          </w:rPr>
          <w:t xml:space="preserve">таблица 6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hyperlink xmlns:r="http://schemas.openxmlformats.org/officeDocument/2006/relationships" r:id="docRId20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4"/>
            <w:u w:val="single"/>
            <w:shd w:fill="FFFFFF" w:val="clear"/>
          </w:rPr>
          <w:t xml:space="preserve">таблица 7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приложения 1 к настоящим МУ);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метод лабораторного подтверждения, который используется чаще других (</w:t>
      </w:r>
      <w:hyperlink xmlns:r="http://schemas.openxmlformats.org/officeDocument/2006/relationships" r:id="docRId21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4"/>
            <w:u w:val="single"/>
            <w:shd w:fill="FFFFFF" w:val="clear"/>
          </w:rPr>
          <w:t xml:space="preserve">таблица 6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приложения 1 к настоящим МУ);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количество обследованных на коклюш лиц, кашляющих свыше 7 и 14 дней (</w:t>
      </w:r>
      <w:hyperlink xmlns:r="http://schemas.openxmlformats.org/officeDocument/2006/relationships" r:id="docRId22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4"/>
            <w:u w:val="single"/>
            <w:shd w:fill="FFFFFF" w:val="clear"/>
          </w:rPr>
          <w:t xml:space="preserve">таблица 8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приложения 1 к настоящим МУ).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3.12.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Для лабораторной диагностики коклюша и заболеваний, обусловленных другими бордетеллами, используются бактериологический, молекулярно-генетический и серологический методы исследования.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Бактериологическое исследование осуществляются в течение первых 2-х недель от начала заболевания.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Молекулярно-генетический метод исследования с помощью полимеразной цепной реакции (далее - ПЦР) эффективен на 1 - 4 неделе от начала заболевания. Метод ПЦР наиболее эффективен для диагностики коклюша и заболеваний, обусловленных другими бордетеллами, у детей раннего возраста, а также у взрослых и детей до 14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лет со стертой и атипичной клинической картиной заболевания, а также при обследовании по эпидемиологическим показаниям.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Серологическую диагностику коклюша методом иммуноферментного анализа (далее - ИФА) применяют, начиная с 3 недели заболевания, для определения уровня специфических противококлюшных антител (IgM, IgA, IgG) к отдельным антигенам бактерий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464C55"/>
          <w:spacing w:val="0"/>
          <w:position w:val="0"/>
          <w:sz w:val="24"/>
          <w:shd w:fill="FFFFFF" w:val="clear"/>
        </w:rPr>
        <w:t xml:space="preserve">В. pertussis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3.13.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При применении преимущественно бактериологического или серологического методов диагностики (когда на долю этих лабораторных методов диагностики приходится 70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%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и более от всех лабораторно подтвержденных случаев коклюша за отчетный период) имеется риск не полного выявления коклюша (наличие пропущенных случаев), что снижает чувствительность эпидемиологического надзора.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При этом диагноз заболеваний, обусловленных бордетеллами, устанавливается на основании выделения культуры возбудителя или дезоксирибонуклеиновой кислоты (далее - ДНК) соответствующего возбудителя, или результатов серологического исследования.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3.14.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В случае отрицательных результатов бактериологического и молекулярно-генетических методов исследований у пациентов с клинической картиной коклюша проводится серологическое исследование крови на наличие специфических антител.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Подтверждением клинического диагноза "коклюш" у непривитых больных является выявление при однократном исследовании сыворотки крови IgM, и (или) IgA, и (или) IgG. В случае получения отрицательных результатов исследование повторяют через 14 и более дней, подтверждением клинического диагноза "коклюш" у привитых больных является выявление при однократном исследовании сыворотки крови IgA и (или) четырехкратное нарастание уровня IgG при исследовании парных сывороток, взятых с интервалом 14 и более дней. При заболевании детей первых месяцев жизни целесообразно проводить исследование парных сывороток крови одновременно ребенка и матери (как наиболее вероятного источника инфекции), а также других членов семьи при наличии у последних клинической картины коклюша.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3.15.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Анализ эффективности методов обследования пациентов с подозрением на коклюш на разных сроках от начала заболевания с помощью бактериологического, молекулярно-генетического и серологического методов исследования рекомендуется проводить в соответствии с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hyperlink xmlns:r="http://schemas.openxmlformats.org/officeDocument/2006/relationships" r:id="docRId23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4"/>
            <w:u w:val="single"/>
            <w:shd w:fill="FFFFFF" w:val="clear"/>
          </w:rPr>
          <w:t xml:space="preserve">таблицей 8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приложения 1 к настоящим МУ.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3.16.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Анализ данных о частоте заноса инфекции и степени ее вторичного распространения в дошкольных образовательных и общеобразовательных организациях, специальных учебно-воспитательных учреждениях открытого и закрытого типа, учреждениях для детей-сирот и детей оставшихся без попечения родителей, летних оздоровительных учреждениях, учреждениях начального, среднего профессионального образования и высших учебных заведениях, медицинских организациях, семейных очагах, рекомендуется проводить в соответствии с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hyperlink xmlns:r="http://schemas.openxmlformats.org/officeDocument/2006/relationships" r:id="docRId24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4"/>
            <w:u w:val="single"/>
            <w:shd w:fill="FFFFFF" w:val="clear"/>
          </w:rPr>
          <w:t xml:space="preserve">10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приложения 1 к настоящим МУ.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3.17.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Доля (%) очагов с 1 случаем заболевания характеризует состояние популяционного иммунитета и косвенно качество санитарно-противоэпидемических (профилактических) мероприятий. Критерием защищенности коллектива от коклюша и своевременности проведения санитарно-противоэпидемических (профилактических) мероприятий является локализация очагов инфекции без последующего ее распространения. Доля крупных очагов с числом случаев 3 и более позволяет выявить территории, где инфекция распространяется наиболее интенсивно.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  <w:t xml:space="preserve">Наблюдение за уровнем иммунизации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3.18.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Анализ состояния коллективного иммунитета осуществляется по следующим показателям: охват прививками лиц в декретированных возрастах, своевременность проведения вакцинации и ревакцинации, обоснованность медицинских противопоказаний к иммунизации.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3.19.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Своевременное начало прививок вакциной, содержащей цельноклеточный или бесклеточный коклюшный компонент у детей в возрасте 3 месяцев, должно быть не менее, чем у 90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%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от подлежащих прививкам лиц. Удовлетворительным считается своевременный охват законченной вакцинацией (три прививки противококлюшной вакциной в соответствии с Национальным календарем профилактических прививок</w:t>
      </w:r>
      <w:hyperlink xmlns:r="http://schemas.openxmlformats.org/officeDocument/2006/relationships" r:id="docRId25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0"/>
            <w:u w:val="single"/>
            <w:shd w:fill="FFFFFF" w:val="clear"/>
            <w:vertAlign w:val="superscript"/>
          </w:rPr>
          <w:t xml:space="preserve">6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)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и ревакцинацией, если их получили 95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%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детей в возрасте 12 и 24 месяцев жизни соответственно. Рекомендуется, чтобы и общий процент охвата трехкратной вакцинацией и ревакцинацией детей с года до трех лет включительно был не менее 95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%.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------------------------------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0"/>
          <w:shd w:fill="FFFFFF" w:val="clear"/>
          <w:vertAlign w:val="superscript"/>
        </w:rPr>
        <w:t xml:space="preserve">6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Приказ Минздрава России от 06.12.2021 N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1122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н 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 (зарегистрирован Минюстом России 20.12.2021, регистрационный N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66435).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------------------------------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3.20.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В Российской Федерации возможно применение вакцины, содержащей бесклеточный коклюшный компонент применяемой для ревакцинаций детей в возрасте старше четырех лет и взрослых. Для оценки влияния иммунизации в данных возрастных группах на эпидемический процесс, рекомендуется ежегодно отслеживать уровень охвата прививками детей в возрасте старше четырех лет и взрослых в соответствии с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hyperlink xmlns:r="http://schemas.openxmlformats.org/officeDocument/2006/relationships" r:id="docRId26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4"/>
            <w:u w:val="single"/>
            <w:shd w:fill="FFFFFF" w:val="clear"/>
          </w:rPr>
          <w:t xml:space="preserve">таблицей 11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приложения 1 к настоящим МУ.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3.21.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Отказы от проведения профилактических прививок против коклюша могут являться одной из ведущих причин роста заболеваемости среди детей младше одного года. Рекомендуемая кратность пересмотра причин медицинских отводов иммунологической комиссией с последующим их учетом - не реже 1 раза в год.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3.22.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Анализ возникающих реакций на вакцину (содержащую цельноклеточный или бесклеточный коклюшный компонент) - местных, общих, необычных и поствакцинальных осложнений рекомендуется проводить в соответствии с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hyperlink xmlns:r="http://schemas.openxmlformats.org/officeDocument/2006/relationships" r:id="docRId27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4"/>
            <w:u w:val="single"/>
            <w:shd w:fill="FFFFFF" w:val="clear"/>
          </w:rPr>
          <w:t xml:space="preserve">таблицей 12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приложения 1 к настоящим МУ.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  <w:t xml:space="preserve">Слежение за состоянием противококлюшного иммунитета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3.23.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Серологический мониторинг осуществляется ежегодно для оценки фактической защищенности от коклюша детей в индикаторных возрастных группах.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3.24.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Серологическое исследование специфического популяционного иммунитета к коклюшу может быть проведено не только в рекомендованной возрастной группе 3 - 4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года, но и в других индикаторных возрастных и профессиональных группах</w:t>
      </w:r>
      <w:hyperlink xmlns:r="http://schemas.openxmlformats.org/officeDocument/2006/relationships" r:id="docRId28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0"/>
            <w:u w:val="single"/>
            <w:shd w:fill="FFFFFF" w:val="clear"/>
            <w:vertAlign w:val="superscript"/>
          </w:rPr>
          <w:t xml:space="preserve">7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------------------------------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0"/>
          <w:shd w:fill="FFFFFF" w:val="clear"/>
          <w:vertAlign w:val="superscript"/>
        </w:rPr>
        <w:t xml:space="preserve">7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Пункты 5.5, 5.9 МУ 3.1.2943-11 "Организация и проведение серологического мониторинга состояния коллективного иммунитета к инфекциям, управляемым средствами специфической профилактики (дифтерия, столбняк, коклюш, корь, краснуха, эпидемический паротит, полиомиелит, гепатит В)",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15.07.2011.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------------------------------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3.25.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Серологический мониторинг за иммунитетом в индикаторных возрастных группах может быть использован для выявления потенциальных групп риска распространения инфекции в новых организованных коллективах, а также может быть использован для обоснования проведения бустерных иммунизаций против коклюша. Значимые для оценки иммунитета к коклюшу индикаторные возрастные группы приведены в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hyperlink xmlns:r="http://schemas.openxmlformats.org/officeDocument/2006/relationships" r:id="docRId29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4"/>
            <w:u w:val="single"/>
            <w:shd w:fill="FFFFFF" w:val="clear"/>
          </w:rPr>
          <w:t xml:space="preserve">таблице 13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приложения 1 к настоящим МУ.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  <w:t xml:space="preserve">Микробиологический мониторинг фенотипических и генотипических свойств возбудителя коклюша и возбудителей заболеваний, обусловленных другими бордетеллами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3.26.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Для оценки и прогнозирования эпидемиологической ситуации Референс-центр осуществляет микробиологический мониторинг фенотипических и генотипических свойств возбудителей коклюша и заболеваний, обусловленных другими бордетеллами. Доставка в Референс-центр клинических образцов (биологического материала (мазки из зева), бактериальных культур и образцов выделенной ДНК) от лиц с подозрением на коклюш и коклюшеподобные заболевания осуществляется по запросу Референс-центра. На каждый образец оформляется направление (см.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hyperlink xmlns:r="http://schemas.openxmlformats.org/officeDocument/2006/relationships" r:id="docRId30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4"/>
            <w:u w:val="single"/>
            <w:shd w:fill="FFFFFF" w:val="clear"/>
          </w:rPr>
          <w:t xml:space="preserve">приложение 2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к настоящим МУ).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3.27.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Все работы по отбору, подготовке и транспортированию клинических образцов, проведение лабораторных исследований, сбор, хранение и обеззараживание отходов осуществляются в соответствии с санитарно-эпидемиологическими требованиями, а также методическими документами</w:t>
      </w:r>
      <w:hyperlink xmlns:r="http://schemas.openxmlformats.org/officeDocument/2006/relationships" r:id="docRId31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4"/>
            <w:u w:val="single"/>
            <w:shd w:fill="FFFFFF" w:val="clear"/>
          </w:rPr>
          <w:t xml:space="preserve">8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------------------------------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0"/>
          <w:shd w:fill="FFFFFF" w:val="clear"/>
          <w:vertAlign w:val="superscript"/>
        </w:rPr>
        <w:t xml:space="preserve">8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Глава IV СанПиН 3.3686-21; Глава X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утвержденных постановлением Главного государственного санитарного врача Российской Федерации от 28.01.2021 N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3 (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зарегистрировано Минюстом России 29.01.2021, регистрационный N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62297),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с изменениями, внесенными постановлениями Главного государственного санитарного врача Российской Федерации от 26.06.2021 N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16 (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зарегистрировано Минюстом России 07.07.2021, регистрационный N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64146),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от 14.12.2021 N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37 (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зарегистрировано Минюстом России 30.12.2021, регистрационный N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66692), 14.02.2022 N 6 (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зарегистрировано Минюстом России 17.02.2022, регистрационный N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67331);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МУК 4.2.3701-21 "Лабораторная диагностика коклюша и заболеваний, обусловленных другими бордетеллами",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01.09.2021 (далее - МУК 4.2.3701-21).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------------------------------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3.28.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На доставляемый в лабораторию материал рекомендуется оформлять направление, в котором будет указано: наименование медицинской организации, направившей материал на исследование, телефон, адрес электронной почты (по возможности); фамилия, имя, отчество (при наличии) пациента, возраст, адрес места проживания, адрес регистрации по месту жительства обследуемого; дата и время взятия материала; метод лабораторной диагностики (бактериологический / метод ПЦР / ИФА по выявлению противококлюшных антител классов IgM, IgG, IgA); тип материала и метод его взятия; предполагаемый диагноз или повод к обследованию; дата заболевания или контакта с больным; данные о вакцинации против коклюшной инфекции (вакцинирован, даты и количество полученных доз с указанием вакцины / не вакцинирован / нет данных); кратность обследования; фамилия, имя, отчество (при наличии), должность, подпись и контактный телефон лица, взявшего материал (разборчиво).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3.29.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Алгоритм проведения мониторинга за возбудителем коклюша - выделенные в учреждениях Роспотребнадзора и Минздрава России бактериальные культуры возбудителей коклюша и заболеваний, обусловленных другими бордетеллами (не более 50 бактериальных культур из субъекта в течение года), а также до 50 (из каждого субъекта в течение года) положительных при исследовании методом ПЦР клинических образцов (биологический материал (тампоны) и выделенная ДНК), полученные при обследовании больных с подозрением на коклюш, по согласованию или по запросу, направляются в Референс-центр. В Референс-центре проводится верификация выделенных штаммов бордетелл и положительных ПЦР-образцов, и молекулярно-генетические исследования (мультилокусное антигенное сиквенс-типирование и полногеномное секвенирование) для оценки клонального состава циркулирующей популяции и эпидемиологической значимости возбудителей, а также соответствия составу производственных штаммов и модернизации вакцинных препаратов.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Хранение и транспортировку образцов рекомендуется осуществлять в соответствии с инструкцией, представленной в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hyperlink xmlns:r="http://schemas.openxmlformats.org/officeDocument/2006/relationships" r:id="docRId32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4"/>
            <w:u w:val="single"/>
            <w:shd w:fill="FFFFFF" w:val="clear"/>
          </w:rPr>
          <w:t xml:space="preserve">приложении 3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к настоящим МУ.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  <w:t xml:space="preserve">Оценка эпидемиологической ситуации и эффективности санитарно-противоэпидемических (профилактических) мероприятий, прогнозирование эпидемиологической ситуации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3.30.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При условии достижения уровня коллективного иммунитета против коклюша не менее чем у 95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%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лиц в декретированных возрастах и своевременном проведении противоэпидемических мероприятий, эпидемиологическая ситуация в отношении коклюша характеризуется как "благополучная" при наличии 4-х основных признаков: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отсутствие случаев смерти от коклюша;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формы легкого клинического течения коклюша регистрируются чаще других клинических форм (более 50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%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случаев);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заболеваемость в возрастной группе "до 1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года" регистрируется преимущественно (более 70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%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случаев) у не привитых детей;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очаги без распространения инфекции превалируют (более 60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%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случаев) над очагами с распространением.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3.31.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При отсутствии двух и более основных признаков, эпидемиологическая ситуация может расцениваться как неблагополучная. В случае признания ситуации неблагополучной, совместно с Референс-центром разрабатывается дополнительный план санитарно-противоэпидемических (профилактических) мероприятий.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3.32.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Неблагоприятными прогностическими признаками являются: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преобладание (более 60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%)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доли тяжелых и среднетяжелых форм коклюша в структуре заболевших;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преобладание (более 50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%)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очагов инфекции с 3 и более случаями заболевания коклюшем;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увеличение сроков от даты обращения за медицинской помощью до даты постановки диагноза по сравнению с предыдущим годом;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низкий уровень охвата прививками (менее 95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%)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детей в декретированных возрастах;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высокая (более 50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%)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доля привитых среди заболевших детей в возрасте младше 1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года;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регистрация тяжелых форм коклюша (более 30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%)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у привитых детей школьного возраста и взрослых.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  <w:t xml:space="preserve">IV. </w:t>
      </w: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  <w:t xml:space="preserve">Санитарно-противоэпидемические (профилактические) мероприятия при ухудшении эпидемиологической ситуации по коклюшу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4.1.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Основным методом профилактики и защиты населения от коклюша является вакцинопрофилактика. Плановая иммунизация населения против коклюша проводится в рамках Национального календаря профилактических прививок, а также в рамках региональных календарей профилактических прививок.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4.2.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В условиях ухудшения эпидемиологической ситуации проводятся санитарно-противоэпидемические (профилактические) мероприятия.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4.3.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С целью защиты детей, в том числе в возрасте до 1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года, рекомендуется проведение следующих санитарно-противоэпидемических (профилактических) мероприятий: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активизация работы региональных иммунологических комиссий в целях своевременного пересмотра медицинских отводов, а также активная работа с родителями/опекунами детей, отказавшимися от вакцинации детей;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оценка и принятие мер по увеличению охвата профилактическими прививками против коклюша детей до года, обеспечение своевременности их иммунизации в соответствии с Национальным календарем профилактических прививок (с охватом вакцинацией детей против коклюша в возрасте до 6 месяцев не менее 95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%);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лабораторное обследование всех контактных в семейных очагах инфекции, где проживают дети или взрослые, работающие в детских больницах, родильных домах (перинатальных центрах), домах ребенка, организациях, осуществляющих образовательную деятельность, организациях отдыха детей и их оздоровления, организациях для детей-сирот и детей, оставшихся без попечения родителей, молекулярно-генетическим методом исследования без учета длительности очага и (или) бактериологическим методом на 10 - 14 календарный день от момента контакта с заболевшим коклюшем;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при наличии заболевания или носительства коклюша в семье, где проживает ребенок младше 1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года, рекомендуется изоляция источника инфекции сроком на 25 календарных дней от начала заболевания или выявления носительства. В случае, если источником инфекции или бактерионосителем является мать ребенка в возрасте до 1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года рекомендуется использование маски при контактах с ребенком.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4.4.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В организованных коллективах эффективным санитарно-противоэпидемическим (профилактическим) мероприятием является разобщение детей и взрослых, находившихся в прямом близком контакте с заболевшими от остального коллектива, в связи с этим рекомендуется: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проведение эпидемиологического обследования очага коклюшной инфекции, если случай коклюша зарегистрирован в детских больницах, родильных домах, перинатальных центрах, домах ребенка, организациях, осуществляющих образовательную деятельность, организациях отдыха детей и их оздоровления, организациях для детей-сирот и детей, оставшихся без попечения родителей, начиная с 1 случая заболевания;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одномоментный (в течение суток после регистрации первого случая) медицинский осмотр всех членов образовательного коллектива/медицинской организации/социального учреждения, в том числе персонала, обеспечивающего функционирование организации или учреждения, на предмет выявления "пропущенных" случаев заболевания;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медицинское наблюдение за контактными включающее в себя: опрос, обязательный ежедневный осмотр (допускается использование технических средств для удаленного осмотра), термометрию;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при выявлении заболевшего или бактерионосителя в организованном коллективе, в котором был выявлен заболевший или бактерионоситель, образовательный процесс рекомендуется осуществлять без перехода в другие помещения (один кабинет, одна групповая ячейка). Запретить участие "карантинного" коллектива в массовых мероприятиях, изменить время приема пищи и перемен между уроками с целью исключения пересечения с другими детьми;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при регистрации в организации, осуществляющей образовательную деятельность 2-х и более случаев заболевания и (или) носительства коклюша образовательный процесс рекомендуется организовать в дистанционном формате, без посещения контактировавшими учреждения;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при регистрации 1-го и более случаев заболевания коклюшной инфекцией в отделении неинфекционного профиля детской больницы: не переводить пациентов, не привитых против коклюша, в другие соматические отделения либо осуществлять перевод после бактериологического и (или) молекулярно-генетического (ПЦР) обследования на носительство коклюша. Осуществлять выписку пациентов из карантинного отделения на амбулаторное (домашнее) наблюдение с учетом клинического состояния пациента. Приостановить прием в карантинное отделение пациентов, не привитых против коклюша, а в случае отсутствия возможности оказания медицинской помощи вне карантинного отделения пациентов, не привитых против коклюша, рекомендуется размещать в отдельной изолированной палате;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всех больных коклюшем (дети и взрослые), выявленных в детских больницах, родильных домах, организациях, осуществляющих образовательную деятельность, организациях отдыха детей и их оздоровления, организациях для детей-сирот и детей, оставшихся без попечения родителей изолировать в соответствии с санитарно-эпидемиологическими требованиями, сроком не менее чем на 25 календарных дней от начала заболевания</w:t>
      </w:r>
      <w:hyperlink xmlns:r="http://schemas.openxmlformats.org/officeDocument/2006/relationships" r:id="docRId33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0"/>
            <w:u w:val="single"/>
            <w:shd w:fill="FFFFFF" w:val="clear"/>
            <w:vertAlign w:val="superscript"/>
          </w:rPr>
          <w:t xml:space="preserve">9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Допуск в организованный коллектив возможен после получения отрицательного результата бактериологического и (или) молекулярно-генетического исследования;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------------------------------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0"/>
          <w:shd w:fill="FFFFFF" w:val="clear"/>
          <w:vertAlign w:val="superscript"/>
        </w:rPr>
        <w:t xml:space="preserve">9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Пункт 2891 СанПиН 3.3686-21.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------------------------------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на протяжении всего периода работы организованного коллектива не допускать в образовательные коллективы детей с длительным кашлем (более 7 дней) без лабораторного бактериологического и (или) молекулярно-генетического обследования на носительство коклюшной инфекции, в том числе лиц с "остаточным кашлем" после выздоровления от простудных и других респираторных инфекционных заболеваний.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4.5.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В условиях ухудшения эпидемиологической ситуации и при наличии, зарегистрированной в установленном порядке</w:t>
      </w:r>
      <w:hyperlink xmlns:r="http://schemas.openxmlformats.org/officeDocument/2006/relationships" r:id="docRId34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0"/>
            <w:u w:val="single"/>
            <w:shd w:fill="FFFFFF" w:val="clear"/>
            <w:vertAlign w:val="superscript"/>
          </w:rPr>
          <w:t xml:space="preserve">10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вакцины для ревакцинации против коклюша детей школьного возраста и взрослых, рекомендуемыми приоритетными группами проведения дополнительных ревакцинирующих прививок будут являться: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------------------------------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0"/>
          <w:shd w:fill="FFFFFF" w:val="clear"/>
          <w:vertAlign w:val="superscript"/>
        </w:rPr>
        <w:t xml:space="preserve">10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Статья 38 Федерального закона от 21.11.2011 N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323-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ФЗ "Об основах охраны здоровья граждан в Российской Федерации"; постановление Правительства Российской Федерации от 27.12.2012 N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1416 "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Об утверждении Правил государственной регистрации медицинских изделий".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------------------------------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дети в возрасте 6 - 7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лет и 14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лет;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дети и взрослые (каждые 10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лет) с хронической бронхолегочной патологией, бронхиальной астмой, с онкологическими заболеваниями;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взрослые, в семьях которых есть новорожденные и не привитые дети младше 1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года;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взрослые (каждые 10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лет) - работники медицинских учреждений, учреждений социального обеспечения, организаций, осуществляющих образовательную деятельность;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женщины, планирующие беременность.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Приложение 1</w:t>
        <w:br/>
        <w:t xml:space="preserve">к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hyperlink xmlns:r="http://schemas.openxmlformats.org/officeDocument/2006/relationships" r:id="docRId35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4"/>
            <w:u w:val="single"/>
            <w:shd w:fill="FFFFFF" w:val="clear"/>
          </w:rPr>
          <w:t xml:space="preserve">МУ 3.1.2.4066-24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br/>
        <w:t xml:space="preserve">(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рекомендуемый образец)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           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Формы сбора аналитического материала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                                                         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Таблица 1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             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Заболеваемость коклюшем в 20__ г.</w:t>
      </w:r>
    </w:p>
    <w:tbl>
      <w:tblPr/>
      <w:tblGrid>
        <w:gridCol w:w="675"/>
        <w:gridCol w:w="999"/>
        <w:gridCol w:w="1299"/>
        <w:gridCol w:w="1422"/>
        <w:gridCol w:w="567"/>
        <w:gridCol w:w="425"/>
        <w:gridCol w:w="596"/>
        <w:gridCol w:w="1710"/>
        <w:gridCol w:w="1491"/>
        <w:gridCol w:w="739"/>
        <w:gridCol w:w="567"/>
        <w:gridCol w:w="709"/>
        <w:gridCol w:w="708"/>
        <w:gridCol w:w="1025"/>
        <w:gridCol w:w="960"/>
        <w:gridCol w:w="992"/>
        <w:gridCol w:w="1134"/>
      </w:tblGrid>
      <w:tr>
        <w:trPr>
          <w:trHeight w:val="1" w:hRule="atLeast"/>
          <w:jc w:val="left"/>
        </w:trPr>
        <w:tc>
          <w:tcPr>
            <w:tcW w:w="6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</w:t>
            </w:r>
          </w:p>
        </w:tc>
        <w:tc>
          <w:tcPr>
            <w:tcW w:w="99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Возраст</w:t>
            </w:r>
          </w:p>
        </w:tc>
        <w:tc>
          <w:tcPr>
            <w:tcW w:w="129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Число заболевших (абс.)</w:t>
            </w:r>
          </w:p>
        </w:tc>
        <w:tc>
          <w:tcPr>
            <w:tcW w:w="142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Показатель заболеваемости на 100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тыс. данного возраста</w:t>
            </w:r>
          </w:p>
        </w:tc>
        <w:tc>
          <w:tcPr>
            <w:tcW w:w="158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Привиты из числа всех заболевших (абс.)</w:t>
            </w:r>
          </w:p>
        </w:tc>
        <w:tc>
          <w:tcPr>
            <w:tcW w:w="171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Показатель заболеваемости привитых на 1000 привитых данного возраста</w:t>
            </w:r>
          </w:p>
        </w:tc>
        <w:tc>
          <w:tcPr>
            <w:tcW w:w="14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Не привиты, в т.ч. не имеют законченного курса вакцинации (V1 - V2) из числа всех заболевших</w:t>
            </w:r>
          </w:p>
        </w:tc>
        <w:tc>
          <w:tcPr>
            <w:tcW w:w="73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Показатель заболеваемости не привитых на 1000 не привитых данного возраста</w:t>
            </w:r>
          </w:p>
        </w:tc>
        <w:tc>
          <w:tcPr>
            <w:tcW w:w="300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Клиническая форма заболевания (абс.)</w:t>
            </w:r>
          </w:p>
        </w:tc>
        <w:tc>
          <w:tcPr>
            <w:tcW w:w="9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пациентов с осложнениями (абс.)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Госпитализировано (абс.)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Случаев смерти (абс.)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V3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R1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R2</w:t>
            </w:r>
          </w:p>
        </w:tc>
        <w:tc>
          <w:tcPr>
            <w:tcW w:w="171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Легкая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Средней тяжести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Тяжелая</w:t>
            </w:r>
          </w:p>
        </w:tc>
        <w:tc>
          <w:tcPr>
            <w:tcW w:w="1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Атипичная</w:t>
            </w:r>
          </w:p>
        </w:tc>
        <w:tc>
          <w:tcPr>
            <w:tcW w:w="9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1 г.</w:t>
            </w: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</w:t>
            </w: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15 - 17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 до 17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Взрослые (18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 и старше)</w:t>
            </w: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9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12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</w:tbl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                                                         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Таблица 2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Сезонное распределение заболеваемости коклюшем в 20__ г.</w:t>
      </w:r>
    </w:p>
    <w:tbl>
      <w:tblPr/>
      <w:tblGrid>
        <w:gridCol w:w="2227"/>
        <w:gridCol w:w="2900"/>
        <w:gridCol w:w="2587"/>
        <w:gridCol w:w="2065"/>
        <w:gridCol w:w="1616"/>
        <w:gridCol w:w="2341"/>
      </w:tblGrid>
      <w:tr>
        <w:trPr>
          <w:trHeight w:val="1" w:hRule="atLeast"/>
          <w:jc w:val="left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Календарный месяц</w:t>
            </w:r>
          </w:p>
        </w:tc>
        <w:tc>
          <w:tcPr>
            <w:tcW w:w="2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СМУ за 10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лет (всего, абс.)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 заболевших (абс.)</w:t>
            </w:r>
          </w:p>
        </w:tc>
        <w:tc>
          <w:tcPr>
            <w:tcW w:w="2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до 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лет (абс.)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7 - 17 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лет (абс.)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18 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лет и старше (абс.)</w:t>
            </w:r>
          </w:p>
        </w:tc>
      </w:tr>
      <w:tr>
        <w:trPr>
          <w:trHeight w:val="1" w:hRule="atLeast"/>
          <w:jc w:val="left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</w:t>
            </w:r>
          </w:p>
        </w:tc>
        <w:tc>
          <w:tcPr>
            <w:tcW w:w="2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II</w:t>
            </w:r>
          </w:p>
        </w:tc>
        <w:tc>
          <w:tcPr>
            <w:tcW w:w="2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III</w:t>
            </w:r>
          </w:p>
        </w:tc>
        <w:tc>
          <w:tcPr>
            <w:tcW w:w="2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IV</w:t>
            </w:r>
          </w:p>
        </w:tc>
        <w:tc>
          <w:tcPr>
            <w:tcW w:w="2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</w:t>
            </w:r>
          </w:p>
        </w:tc>
        <w:tc>
          <w:tcPr>
            <w:tcW w:w="2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</w:t>
            </w:r>
          </w:p>
        </w:tc>
        <w:tc>
          <w:tcPr>
            <w:tcW w:w="2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VII</w:t>
            </w:r>
          </w:p>
        </w:tc>
        <w:tc>
          <w:tcPr>
            <w:tcW w:w="2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VIII</w:t>
            </w:r>
          </w:p>
        </w:tc>
        <w:tc>
          <w:tcPr>
            <w:tcW w:w="2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IX</w:t>
            </w:r>
          </w:p>
        </w:tc>
        <w:tc>
          <w:tcPr>
            <w:tcW w:w="2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2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XI</w:t>
            </w:r>
          </w:p>
        </w:tc>
        <w:tc>
          <w:tcPr>
            <w:tcW w:w="2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XII</w:t>
            </w:r>
          </w:p>
        </w:tc>
        <w:tc>
          <w:tcPr>
            <w:tcW w:w="2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2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</w:tc>
        <w:tc>
          <w:tcPr>
            <w:tcW w:w="29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5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6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3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</w:tbl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                                                         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Таблица 3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      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Дети, заболевшие коклюшем в возрасте до 1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года</w:t>
      </w:r>
    </w:p>
    <w:tbl>
      <w:tblPr/>
      <w:tblGrid>
        <w:gridCol w:w="371"/>
        <w:gridCol w:w="3938"/>
        <w:gridCol w:w="3007"/>
        <w:gridCol w:w="691"/>
        <w:gridCol w:w="1108"/>
        <w:gridCol w:w="1108"/>
        <w:gridCol w:w="1108"/>
        <w:gridCol w:w="1905"/>
        <w:gridCol w:w="2053"/>
      </w:tblGrid>
      <w:tr>
        <w:trPr>
          <w:trHeight w:val="1" w:hRule="atLeast"/>
          <w:jc w:val="left"/>
        </w:trPr>
        <w:tc>
          <w:tcPr>
            <w:tcW w:w="37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</w:t>
            </w:r>
          </w:p>
        </w:tc>
        <w:tc>
          <w:tcPr>
            <w:tcW w:w="39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Месяцы жизни ребенка (возраст)</w:t>
            </w:r>
          </w:p>
        </w:tc>
        <w:tc>
          <w:tcPr>
            <w:tcW w:w="10980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20__ 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год</w:t>
            </w:r>
          </w:p>
        </w:tc>
      </w:tr>
      <w:tr>
        <w:trPr>
          <w:trHeight w:val="1" w:hRule="atLeast"/>
          <w:jc w:val="left"/>
        </w:trPr>
        <w:tc>
          <w:tcPr>
            <w:tcW w:w="37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0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заболевших</w:t>
            </w:r>
          </w:p>
        </w:tc>
        <w:tc>
          <w:tcPr>
            <w:tcW w:w="401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Прививочный статус заболевших</w:t>
            </w:r>
          </w:p>
        </w:tc>
        <w:tc>
          <w:tcPr>
            <w:tcW w:w="395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Источник инфекции</w:t>
            </w:r>
          </w:p>
        </w:tc>
      </w:tr>
      <w:tr>
        <w:trPr>
          <w:trHeight w:val="1" w:hRule="atLeast"/>
          <w:jc w:val="left"/>
        </w:trPr>
        <w:tc>
          <w:tcPr>
            <w:tcW w:w="37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0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V1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V2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V3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Установлен</w:t>
            </w:r>
            <w:r>
              <w:rPr>
                <w:rFonts w:ascii="Times New Roman" w:hAnsi="Times New Roman" w:cs="Times New Roman" w:eastAsia="Times New Roman"/>
                <w:color w:val="3272C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*</w:t>
            </w:r>
          </w:p>
        </w:tc>
        <w:tc>
          <w:tcPr>
            <w:tcW w:w="2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установлен</w:t>
            </w:r>
          </w:p>
        </w:tc>
      </w:tr>
      <w:tr>
        <w:trPr>
          <w:trHeight w:val="1" w:hRule="atLeast"/>
          <w:jc w:val="left"/>
        </w:trPr>
        <w:tc>
          <w:tcPr>
            <w:tcW w:w="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30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</w:t>
            </w:r>
          </w:p>
        </w:tc>
        <w:tc>
          <w:tcPr>
            <w:tcW w:w="30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II</w:t>
            </w:r>
          </w:p>
        </w:tc>
        <w:tc>
          <w:tcPr>
            <w:tcW w:w="30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III</w:t>
            </w:r>
          </w:p>
        </w:tc>
        <w:tc>
          <w:tcPr>
            <w:tcW w:w="30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3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IV</w:t>
            </w:r>
          </w:p>
        </w:tc>
        <w:tc>
          <w:tcPr>
            <w:tcW w:w="30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3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</w:t>
            </w:r>
          </w:p>
        </w:tc>
        <w:tc>
          <w:tcPr>
            <w:tcW w:w="30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</w:t>
            </w:r>
          </w:p>
        </w:tc>
        <w:tc>
          <w:tcPr>
            <w:tcW w:w="30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3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VII</w:t>
            </w:r>
          </w:p>
        </w:tc>
        <w:tc>
          <w:tcPr>
            <w:tcW w:w="30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3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VIII</w:t>
            </w:r>
          </w:p>
        </w:tc>
        <w:tc>
          <w:tcPr>
            <w:tcW w:w="30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3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IX</w:t>
            </w:r>
          </w:p>
        </w:tc>
        <w:tc>
          <w:tcPr>
            <w:tcW w:w="30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3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</w:t>
            </w:r>
          </w:p>
        </w:tc>
        <w:tc>
          <w:tcPr>
            <w:tcW w:w="30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3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XI</w:t>
            </w:r>
          </w:p>
        </w:tc>
        <w:tc>
          <w:tcPr>
            <w:tcW w:w="30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3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3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</w:tc>
        <w:tc>
          <w:tcPr>
            <w:tcW w:w="30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6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9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15289" w:type="dxa"/>
            <w:gridSpan w:val="9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Примечание: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кратко указать место инфицирования, без адреса (например, семья, школа, медицинская организация) и источник (например, родители, брат/сестра, бабушка/дедушка, дядя/тетя, медицинский работник, другое (взрослый), другое (ребенок).</w:t>
            </w:r>
          </w:p>
        </w:tc>
      </w:tr>
    </w:tbl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                                                         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Таблица 4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Профессиональный и социальный состав заболевших коклюшем</w:t>
      </w:r>
    </w:p>
    <w:tbl>
      <w:tblPr/>
      <w:tblGrid>
        <w:gridCol w:w="250"/>
        <w:gridCol w:w="9222"/>
        <w:gridCol w:w="898"/>
        <w:gridCol w:w="2009"/>
        <w:gridCol w:w="867"/>
        <w:gridCol w:w="2043"/>
      </w:tblGrid>
      <w:tr>
        <w:trPr>
          <w:trHeight w:val="1" w:hRule="atLeast"/>
          <w:jc w:val="left"/>
        </w:trPr>
        <w:tc>
          <w:tcPr>
            <w:tcW w:w="2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</w:t>
            </w:r>
          </w:p>
        </w:tc>
        <w:tc>
          <w:tcPr>
            <w:tcW w:w="922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Контингенты</w:t>
            </w:r>
          </w:p>
        </w:tc>
        <w:tc>
          <w:tcPr>
            <w:tcW w:w="290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 20__ году</w:t>
            </w:r>
            <w:hyperlink xmlns:r="http://schemas.openxmlformats.org/officeDocument/2006/relationships" r:id="docRId36">
              <w:r>
                <w:rPr>
                  <w:rFonts w:ascii="Times New Roman" w:hAnsi="Times New Roman" w:cs="Times New Roman" w:eastAsia="Times New Roman"/>
                  <w:b/>
                  <w:color w:val="3272C0"/>
                  <w:spacing w:val="0"/>
                  <w:position w:val="0"/>
                  <w:sz w:val="20"/>
                  <w:u w:val="single"/>
                  <w:shd w:fill="auto" w:val="clear"/>
                  <w:vertAlign w:val="superscript"/>
                </w:rPr>
                <w:t xml:space="preserve">*</w:t>
              </w:r>
            </w:hyperlink>
          </w:p>
        </w:tc>
        <w:tc>
          <w:tcPr>
            <w:tcW w:w="29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 20__ году</w:t>
            </w:r>
          </w:p>
        </w:tc>
      </w:tr>
      <w:tr>
        <w:trPr>
          <w:trHeight w:val="1" w:hRule="atLeast"/>
          <w:jc w:val="left"/>
        </w:trPr>
        <w:tc>
          <w:tcPr>
            <w:tcW w:w="2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2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Всего, абс.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т.ч. среди привитых</w:t>
            </w:r>
            <w:hyperlink xmlns:r="http://schemas.openxmlformats.org/officeDocument/2006/relationships" r:id="docRId37">
              <w:r>
                <w:rPr>
                  <w:rFonts w:ascii="Times New Roman" w:hAnsi="Times New Roman" w:cs="Times New Roman" w:eastAsia="Times New Roman"/>
                  <w:color w:val="3272C0"/>
                  <w:spacing w:val="0"/>
                  <w:position w:val="0"/>
                  <w:sz w:val="20"/>
                  <w:u w:val="single"/>
                  <w:shd w:fill="auto" w:val="clear"/>
                  <w:vertAlign w:val="superscript"/>
                </w:rPr>
                <w:t xml:space="preserve">*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абс.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Всего, абс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т.ч. среди привитых</w:t>
            </w:r>
            <w:hyperlink xmlns:r="http://schemas.openxmlformats.org/officeDocument/2006/relationships" r:id="docRId38">
              <w:r>
                <w:rPr>
                  <w:rFonts w:ascii="Times New Roman" w:hAnsi="Times New Roman" w:cs="Times New Roman" w:eastAsia="Times New Roman"/>
                  <w:color w:val="3272C0"/>
                  <w:spacing w:val="0"/>
                  <w:position w:val="0"/>
                  <w:sz w:val="20"/>
                  <w:u w:val="single"/>
                  <w:shd w:fill="auto" w:val="clear"/>
                  <w:vertAlign w:val="superscript"/>
                </w:rPr>
                <w:t xml:space="preserve">**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абс</w:t>
            </w:r>
          </w:p>
        </w:tc>
      </w:tr>
      <w:tr>
        <w:trPr>
          <w:trHeight w:val="1" w:hRule="atLeast"/>
          <w:jc w:val="left"/>
        </w:trPr>
        <w:tc>
          <w:tcPr>
            <w:tcW w:w="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9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Неорганизованные дети</w:t>
            </w:r>
          </w:p>
        </w:tc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9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дошкольных образовательных организаций</w:t>
            </w:r>
          </w:p>
        </w:tc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9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учащиеся общеобразовательных организаций</w:t>
            </w:r>
          </w:p>
        </w:tc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9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из специальных учебно-воспитательных учреждений открытого и закрытого типа, социальных организаций с круглосуточным пребыванием детей</w:t>
            </w:r>
          </w:p>
        </w:tc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9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 средних профессиональных образовательных организаций</w:t>
            </w:r>
          </w:p>
        </w:tc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9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Учащиеся образовательных организаций высшего образования</w:t>
            </w:r>
          </w:p>
        </w:tc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9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Профессиональные группы риска, всего</w:t>
            </w:r>
          </w:p>
        </w:tc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том числе:</w:t>
            </w:r>
          </w:p>
        </w:tc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9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Работники дошкольных образовательных организаций</w:t>
            </w:r>
          </w:p>
        </w:tc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9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Преподаватели и персонал общеобразовательных организаций</w:t>
            </w:r>
          </w:p>
        </w:tc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9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Персонал социальных учреждений для детей и взрослых с круглосуточным пребыванием</w:t>
            </w:r>
          </w:p>
        </w:tc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9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Работники торговли</w:t>
            </w:r>
          </w:p>
        </w:tc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9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Работники организаций общественного питания</w:t>
            </w:r>
          </w:p>
        </w:tc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9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Работники сферы коммунального обслуживания</w:t>
            </w:r>
          </w:p>
        </w:tc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9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Работники транспорта</w:t>
            </w:r>
          </w:p>
        </w:tc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9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Работники медицинских организаций</w:t>
            </w:r>
          </w:p>
        </w:tc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Прочие</w:t>
            </w:r>
          </w:p>
        </w:tc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9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Социальные группы риска, всего</w:t>
            </w:r>
          </w:p>
        </w:tc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том числе:</w:t>
            </w:r>
          </w:p>
        </w:tc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9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Неработающие граждане трудоспособного возраста</w:t>
            </w:r>
          </w:p>
        </w:tc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9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Пенсионеры</w:t>
            </w:r>
          </w:p>
        </w:tc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9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Беременные женщины</w:t>
            </w:r>
          </w:p>
        </w:tc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9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Лица без определенного места жительства</w:t>
            </w:r>
          </w:p>
        </w:tc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922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Мигранты</w:t>
            </w:r>
          </w:p>
        </w:tc>
        <w:tc>
          <w:tcPr>
            <w:tcW w:w="8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8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15289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Примечание: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год, предшествующий отчетному году;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**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лица, имеющие законченную вакцинацию (или ревакцинацию) против коклюша.</w:t>
            </w:r>
          </w:p>
        </w:tc>
      </w:tr>
    </w:tbl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                                                         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Таблица 5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Сроки постановки диагноза "коклюш" с момента обращения заболевших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                 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за медицинской помощью</w:t>
      </w:r>
    </w:p>
    <w:tbl>
      <w:tblPr/>
      <w:tblGrid>
        <w:gridCol w:w="289"/>
        <w:gridCol w:w="2051"/>
        <w:gridCol w:w="1961"/>
        <w:gridCol w:w="1288"/>
        <w:gridCol w:w="1473"/>
        <w:gridCol w:w="1650"/>
        <w:gridCol w:w="1828"/>
        <w:gridCol w:w="2140"/>
      </w:tblGrid>
      <w:tr>
        <w:trPr>
          <w:trHeight w:val="1" w:hRule="atLeast"/>
          <w:jc w:val="left"/>
        </w:trPr>
        <w:tc>
          <w:tcPr>
            <w:tcW w:w="28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</w:t>
            </w:r>
          </w:p>
        </w:tc>
        <w:tc>
          <w:tcPr>
            <w:tcW w:w="20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Контингенты</w:t>
            </w:r>
          </w:p>
        </w:tc>
        <w:tc>
          <w:tcPr>
            <w:tcW w:w="196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 заболевших</w:t>
            </w:r>
          </w:p>
        </w:tc>
        <w:tc>
          <w:tcPr>
            <w:tcW w:w="8379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 постановки диагноза "коклюш" с момента обращения за медпомощью</w:t>
            </w:r>
          </w:p>
        </w:tc>
      </w:tr>
      <w:tr>
        <w:trPr>
          <w:trHeight w:val="1" w:hRule="atLeast"/>
          <w:jc w:val="left"/>
        </w:trPr>
        <w:tc>
          <w:tcPr>
            <w:tcW w:w="28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6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1 - 2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дня</w:t>
            </w:r>
          </w:p>
        </w:tc>
        <w:tc>
          <w:tcPr>
            <w:tcW w:w="1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3 - 6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дней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7 - 14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дней</w:t>
            </w:r>
          </w:p>
        </w:tc>
        <w:tc>
          <w:tcPr>
            <w:tcW w:w="1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15 - 20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дней</w:t>
            </w:r>
          </w:p>
        </w:tc>
        <w:tc>
          <w:tcPr>
            <w:tcW w:w="2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Более 20 дней</w:t>
            </w:r>
          </w:p>
        </w:tc>
      </w:tr>
      <w:tr>
        <w:trPr>
          <w:trHeight w:val="1" w:hRule="atLeast"/>
          <w:jc w:val="left"/>
        </w:trPr>
        <w:tc>
          <w:tcPr>
            <w:tcW w:w="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(0 - 14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лет)</w:t>
            </w:r>
          </w:p>
        </w:tc>
        <w:tc>
          <w:tcPr>
            <w:tcW w:w="1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2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Подростки (15 - 17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лет)</w:t>
            </w:r>
          </w:p>
        </w:tc>
        <w:tc>
          <w:tcPr>
            <w:tcW w:w="1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2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Взрослые (18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 и старше)</w:t>
            </w:r>
          </w:p>
        </w:tc>
        <w:tc>
          <w:tcPr>
            <w:tcW w:w="1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2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2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0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</w:tc>
        <w:tc>
          <w:tcPr>
            <w:tcW w:w="1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2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6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8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1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</w:tbl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                                                         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Таблица 6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   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Количество случаев коклюша подтвержденных лабораторно</w:t>
      </w:r>
    </w:p>
    <w:tbl>
      <w:tblPr/>
      <w:tblGrid>
        <w:gridCol w:w="1754"/>
        <w:gridCol w:w="3094"/>
        <w:gridCol w:w="2660"/>
        <w:gridCol w:w="4050"/>
        <w:gridCol w:w="3731"/>
      </w:tblGrid>
      <w:tr>
        <w:trPr>
          <w:trHeight w:val="1" w:hRule="atLeast"/>
          <w:jc w:val="left"/>
        </w:trPr>
        <w:tc>
          <w:tcPr>
            <w:tcW w:w="175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 случаев, абс</w:t>
            </w:r>
          </w:p>
        </w:tc>
        <w:tc>
          <w:tcPr>
            <w:tcW w:w="980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Лабораторно подтверждены случаи, абс.</w:t>
            </w:r>
          </w:p>
        </w:tc>
        <w:tc>
          <w:tcPr>
            <w:tcW w:w="373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Без лабораторного подтверждения, абс.</w:t>
            </w:r>
          </w:p>
        </w:tc>
      </w:tr>
      <w:tr>
        <w:trPr>
          <w:trHeight w:val="1" w:hRule="atLeast"/>
          <w:jc w:val="left"/>
        </w:trPr>
        <w:tc>
          <w:tcPr>
            <w:tcW w:w="175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Бактериологическими методами</w:t>
            </w:r>
          </w:p>
        </w:tc>
        <w:tc>
          <w:tcPr>
            <w:tcW w:w="2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Серологическими методами</w:t>
            </w:r>
          </w:p>
        </w:tc>
        <w:tc>
          <w:tcPr>
            <w:tcW w:w="4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Молекулярно-генетическими методами (ПЦР)</w:t>
            </w:r>
          </w:p>
        </w:tc>
        <w:tc>
          <w:tcPr>
            <w:tcW w:w="373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7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0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</w:tbl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                                                         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Таблица 7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Количество случаев заболевания с установленным возбудителем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                  (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в соответствии с МКБ-10)</w:t>
      </w:r>
    </w:p>
    <w:tbl>
      <w:tblPr/>
      <w:tblGrid>
        <w:gridCol w:w="1753"/>
        <w:gridCol w:w="2793"/>
        <w:gridCol w:w="3070"/>
        <w:gridCol w:w="5459"/>
        <w:gridCol w:w="2214"/>
      </w:tblGrid>
      <w:tr>
        <w:trPr>
          <w:trHeight w:val="1" w:hRule="atLeast"/>
          <w:jc w:val="left"/>
        </w:trPr>
        <w:tc>
          <w:tcPr>
            <w:tcW w:w="1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Возрастная группа</w:t>
            </w:r>
          </w:p>
        </w:tc>
        <w:tc>
          <w:tcPr>
            <w:tcW w:w="2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Коклюш, вызванный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В. Pertussis</w:t>
            </w:r>
          </w:p>
        </w:tc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Коклюш, вызванный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В. Parapertussis</w:t>
            </w:r>
          </w:p>
        </w:tc>
        <w:tc>
          <w:tcPr>
            <w:tcW w:w="5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Коклюш, вызванный другим уточненным возбудителем вида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Bordetella</w:t>
            </w:r>
            <w:r>
              <w:rPr>
                <w:rFonts w:ascii="Times New Roman" w:hAnsi="Times New Roman" w:cs="Times New Roman" w:eastAsia="Times New Roman"/>
                <w:b/>
                <w:color w:val="3272C0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*</w:t>
            </w:r>
          </w:p>
        </w:tc>
        <w:tc>
          <w:tcPr>
            <w:tcW w:w="2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Коклюш неуточненный</w:t>
            </w:r>
          </w:p>
        </w:tc>
      </w:tr>
      <w:tr>
        <w:trPr>
          <w:trHeight w:val="1" w:hRule="atLeast"/>
          <w:jc w:val="left"/>
        </w:trPr>
        <w:tc>
          <w:tcPr>
            <w:tcW w:w="1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2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1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1 - 2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2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1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3 - 6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2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1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7 - 14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2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1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15 - 17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2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1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 и старше</w:t>
            </w:r>
          </w:p>
        </w:tc>
        <w:tc>
          <w:tcPr>
            <w:tcW w:w="2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17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</w:tc>
        <w:tc>
          <w:tcPr>
            <w:tcW w:w="27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0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2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15289" w:type="dxa"/>
            <w:gridSpan w:val="5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Примечание: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рядом с количеством заболевших указать установленного возбудителя вида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Bordetella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например: 2 (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В. bronchiseptica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))</w:t>
            </w:r>
          </w:p>
        </w:tc>
      </w:tr>
    </w:tbl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                                                         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Таблица 8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   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Лица, обследованные на коклюш с диагностической целью</w:t>
      </w:r>
    </w:p>
    <w:tbl>
      <w:tblPr/>
      <w:tblGrid>
        <w:gridCol w:w="3057"/>
        <w:gridCol w:w="3352"/>
        <w:gridCol w:w="3258"/>
        <w:gridCol w:w="3200"/>
        <w:gridCol w:w="5295"/>
      </w:tblGrid>
      <w:tr>
        <w:trPr>
          <w:trHeight w:val="1" w:hRule="atLeast"/>
          <w:jc w:val="left"/>
        </w:trPr>
        <w:tc>
          <w:tcPr>
            <w:tcW w:w="3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</w:t>
            </w:r>
          </w:p>
        </w:tc>
        <w:tc>
          <w:tcPr>
            <w:tcW w:w="3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Кашель продолжительностью более</w:t>
            </w:r>
          </w:p>
        </w:tc>
        <w:tc>
          <w:tcPr>
            <w:tcW w:w="3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 обследовано на коклюш лиц (абс.)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Выявлено заболевших коклюшем (абс.)</w:t>
            </w:r>
          </w:p>
        </w:tc>
        <w:tc>
          <w:tcPr>
            <w:tcW w:w="5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Доля выявленных заболевших коклюшем среди обследованных (%)</w:t>
            </w:r>
          </w:p>
        </w:tc>
      </w:tr>
      <w:tr>
        <w:trPr>
          <w:trHeight w:val="1" w:hRule="atLeast"/>
          <w:jc w:val="left"/>
        </w:trPr>
        <w:tc>
          <w:tcPr>
            <w:tcW w:w="3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7 - 14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дней</w:t>
            </w:r>
          </w:p>
        </w:tc>
        <w:tc>
          <w:tcPr>
            <w:tcW w:w="3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3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Более 14 дней</w:t>
            </w:r>
          </w:p>
        </w:tc>
        <w:tc>
          <w:tcPr>
            <w:tcW w:w="3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30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3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</w:tc>
        <w:tc>
          <w:tcPr>
            <w:tcW w:w="32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2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</w:tbl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                                                         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Таблица 9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Бактериологические, серологические и молекулярно-генетические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      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обследования с диагностической целью на коклюш</w:t>
      </w:r>
    </w:p>
    <w:tbl>
      <w:tblPr/>
      <w:tblGrid>
        <w:gridCol w:w="1528"/>
        <w:gridCol w:w="2078"/>
        <w:gridCol w:w="1637"/>
        <w:gridCol w:w="1825"/>
        <w:gridCol w:w="1320"/>
        <w:gridCol w:w="1870"/>
        <w:gridCol w:w="1320"/>
        <w:gridCol w:w="1870"/>
        <w:gridCol w:w="1320"/>
        <w:gridCol w:w="1870"/>
      </w:tblGrid>
      <w:tr>
        <w:trPr>
          <w:trHeight w:val="1" w:hRule="atLeast"/>
          <w:jc w:val="left"/>
        </w:trPr>
        <w:tc>
          <w:tcPr>
            <w:tcW w:w="152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</w:t>
            </w:r>
          </w:p>
        </w:tc>
        <w:tc>
          <w:tcPr>
            <w:tcW w:w="207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Лабораторный метод обследования</w:t>
            </w:r>
          </w:p>
        </w:tc>
        <w:tc>
          <w:tcPr>
            <w:tcW w:w="163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 обследованных лиц (абс.)</w:t>
            </w:r>
          </w:p>
        </w:tc>
        <w:tc>
          <w:tcPr>
            <w:tcW w:w="18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Из них с диагностической целью (абс.)</w:t>
            </w:r>
          </w:p>
        </w:tc>
        <w:tc>
          <w:tcPr>
            <w:tcW w:w="957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 обследования со дня заболевания</w:t>
            </w:r>
          </w:p>
        </w:tc>
      </w:tr>
      <w:tr>
        <w:trPr>
          <w:trHeight w:val="1" w:hRule="atLeast"/>
          <w:jc w:val="left"/>
        </w:trPr>
        <w:tc>
          <w:tcPr>
            <w:tcW w:w="15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1 до 14 дней</w:t>
            </w:r>
          </w:p>
        </w:tc>
        <w:tc>
          <w:tcPr>
            <w:tcW w:w="3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15 - 21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день</w:t>
            </w:r>
          </w:p>
        </w:tc>
        <w:tc>
          <w:tcPr>
            <w:tcW w:w="319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свыше 21 дня</w:t>
            </w:r>
          </w:p>
        </w:tc>
      </w:tr>
      <w:tr>
        <w:trPr>
          <w:trHeight w:val="1" w:hRule="atLeast"/>
          <w:jc w:val="left"/>
        </w:trPr>
        <w:tc>
          <w:tcPr>
            <w:tcW w:w="152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7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3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Обследовано лиц (абс.)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Положи тельных результатов</w:t>
            </w:r>
            <w:hyperlink xmlns:r="http://schemas.openxmlformats.org/officeDocument/2006/relationships" r:id="docRId39">
              <w:r>
                <w:rPr>
                  <w:rFonts w:ascii="Times New Roman" w:hAnsi="Times New Roman" w:cs="Times New Roman" w:eastAsia="Times New Roman"/>
                  <w:color w:val="3272C0"/>
                  <w:spacing w:val="0"/>
                  <w:position w:val="0"/>
                  <w:sz w:val="20"/>
                  <w:u w:val="single"/>
                  <w:shd w:fill="auto" w:val="clear"/>
                  <w:vertAlign w:val="superscript"/>
                </w:rPr>
                <w:t xml:space="preserve">*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абс.)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Обследовано лиц (абс.)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Положительных результатов</w:t>
            </w:r>
            <w:hyperlink xmlns:r="http://schemas.openxmlformats.org/officeDocument/2006/relationships" r:id="docRId40">
              <w:r>
                <w:rPr>
                  <w:rFonts w:ascii="Times New Roman" w:hAnsi="Times New Roman" w:cs="Times New Roman" w:eastAsia="Times New Roman"/>
                  <w:color w:val="3272C0"/>
                  <w:spacing w:val="0"/>
                  <w:position w:val="0"/>
                  <w:sz w:val="20"/>
                  <w:u w:val="single"/>
                  <w:shd w:fill="auto" w:val="clear"/>
                  <w:vertAlign w:val="superscript"/>
                </w:rPr>
                <w:t xml:space="preserve">*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абс.)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Обследовано лиц (абс.)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Положительных результатов</w:t>
            </w:r>
            <w:hyperlink xmlns:r="http://schemas.openxmlformats.org/officeDocument/2006/relationships" r:id="docRId41">
              <w:r>
                <w:rPr>
                  <w:rFonts w:ascii="Times New Roman" w:hAnsi="Times New Roman" w:cs="Times New Roman" w:eastAsia="Times New Roman"/>
                  <w:color w:val="3272C0"/>
                  <w:spacing w:val="0"/>
                  <w:position w:val="0"/>
                  <w:sz w:val="20"/>
                  <w:u w:val="single"/>
                  <w:shd w:fill="auto" w:val="clear"/>
                  <w:vertAlign w:val="superscript"/>
                </w:rPr>
                <w:t xml:space="preserve">*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абс.)</w:t>
            </w:r>
          </w:p>
        </w:tc>
      </w:tr>
      <w:tr>
        <w:trPr>
          <w:trHeight w:val="1" w:hRule="atLeast"/>
          <w:jc w:val="left"/>
        </w:trPr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Бактериологический</w:t>
            </w:r>
          </w:p>
        </w:tc>
        <w:tc>
          <w:tcPr>
            <w:tcW w:w="1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Молекулярно-генетический</w:t>
            </w:r>
          </w:p>
        </w:tc>
        <w:tc>
          <w:tcPr>
            <w:tcW w:w="1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1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Серологический</w:t>
            </w:r>
          </w:p>
        </w:tc>
        <w:tc>
          <w:tcPr>
            <w:tcW w:w="16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3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8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16638" w:type="dxa"/>
            <w:gridSpan w:val="10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Примечание: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сколько человек из обследованных имеют положительный результат.</w:t>
            </w:r>
          </w:p>
        </w:tc>
      </w:tr>
    </w:tbl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                                                        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Таблица 10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                    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Очаговость коклюша</w:t>
      </w:r>
    </w:p>
    <w:tbl>
      <w:tblPr/>
      <w:tblGrid>
        <w:gridCol w:w="1389"/>
        <w:gridCol w:w="8255"/>
        <w:gridCol w:w="1617"/>
        <w:gridCol w:w="1157"/>
        <w:gridCol w:w="1038"/>
        <w:gridCol w:w="323"/>
        <w:gridCol w:w="323"/>
        <w:gridCol w:w="323"/>
        <w:gridCol w:w="323"/>
        <w:gridCol w:w="323"/>
        <w:gridCol w:w="1416"/>
      </w:tblGrid>
      <w:tr>
        <w:trPr>
          <w:trHeight w:val="1" w:hRule="atLeast"/>
          <w:jc w:val="left"/>
        </w:trPr>
        <w:tc>
          <w:tcPr>
            <w:tcW w:w="138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</w:t>
            </w:r>
          </w:p>
        </w:tc>
        <w:tc>
          <w:tcPr>
            <w:tcW w:w="825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возникновения очага инфекции</w:t>
            </w:r>
          </w:p>
        </w:tc>
        <w:tc>
          <w:tcPr>
            <w:tcW w:w="16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 учреждений</w:t>
            </w:r>
          </w:p>
        </w:tc>
        <w:tc>
          <w:tcPr>
            <w:tcW w:w="115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 случаев</w:t>
            </w:r>
          </w:p>
        </w:tc>
        <w:tc>
          <w:tcPr>
            <w:tcW w:w="103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 очагов</w:t>
            </w:r>
          </w:p>
        </w:tc>
        <w:tc>
          <w:tcPr>
            <w:tcW w:w="303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Из них очагов с числом случаев заболеваний</w:t>
            </w:r>
          </w:p>
        </w:tc>
      </w:tr>
      <w:tr>
        <w:trPr>
          <w:trHeight w:val="1" w:hRule="atLeast"/>
          <w:jc w:val="left"/>
        </w:trPr>
        <w:tc>
          <w:tcPr>
            <w:tcW w:w="138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25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более</w:t>
            </w:r>
          </w:p>
        </w:tc>
      </w:tr>
      <w:tr>
        <w:trPr>
          <w:trHeight w:val="1" w:hRule="atLeast"/>
          <w:jc w:val="left"/>
        </w:trPr>
        <w:tc>
          <w:tcPr>
            <w:tcW w:w="1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Дошкольные образовательные организации</w:t>
            </w:r>
          </w:p>
        </w:tc>
        <w:tc>
          <w:tcPr>
            <w:tcW w:w="1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1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8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Дети из специальных учебно-воспитательных учреждений открытого и закрытого типа, социальных организаций с круглосуточным пребыванием детей</w:t>
            </w:r>
          </w:p>
        </w:tc>
        <w:tc>
          <w:tcPr>
            <w:tcW w:w="1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1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8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Общеобразовательные организации</w:t>
            </w:r>
          </w:p>
        </w:tc>
        <w:tc>
          <w:tcPr>
            <w:tcW w:w="1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1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8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Летние оздоровительные учреждения:</w:t>
            </w:r>
          </w:p>
        </w:tc>
        <w:tc>
          <w:tcPr>
            <w:tcW w:w="1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1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8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Учреждения начального, среднего профессионального образования и высшие учебные заведения:</w:t>
            </w:r>
          </w:p>
        </w:tc>
        <w:tc>
          <w:tcPr>
            <w:tcW w:w="1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1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8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Медицинские организации:</w:t>
            </w:r>
          </w:p>
        </w:tc>
        <w:tc>
          <w:tcPr>
            <w:tcW w:w="1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1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8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Семейные очаги</w:t>
            </w:r>
          </w:p>
        </w:tc>
        <w:tc>
          <w:tcPr>
            <w:tcW w:w="1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13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82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</w:t>
            </w:r>
          </w:p>
        </w:tc>
        <w:tc>
          <w:tcPr>
            <w:tcW w:w="1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4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</w:tbl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                                                        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Таблица 11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       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Состояние привитости против коклюша в 20__ г.</w:t>
      </w:r>
    </w:p>
    <w:tbl>
      <w:tblPr/>
      <w:tblGrid>
        <w:gridCol w:w="773"/>
        <w:gridCol w:w="616"/>
        <w:gridCol w:w="235"/>
        <w:gridCol w:w="316"/>
        <w:gridCol w:w="521"/>
        <w:gridCol w:w="262"/>
        <w:gridCol w:w="370"/>
        <w:gridCol w:w="262"/>
        <w:gridCol w:w="378"/>
        <w:gridCol w:w="262"/>
        <w:gridCol w:w="388"/>
        <w:gridCol w:w="1091"/>
        <w:gridCol w:w="262"/>
        <w:gridCol w:w="397"/>
        <w:gridCol w:w="358"/>
        <w:gridCol w:w="459"/>
        <w:gridCol w:w="262"/>
        <w:gridCol w:w="399"/>
        <w:gridCol w:w="262"/>
        <w:gridCol w:w="399"/>
        <w:gridCol w:w="262"/>
        <w:gridCol w:w="961"/>
        <w:gridCol w:w="445"/>
        <w:gridCol w:w="399"/>
        <w:gridCol w:w="262"/>
        <w:gridCol w:w="399"/>
      </w:tblGrid>
      <w:tr>
        <w:trPr>
          <w:trHeight w:val="1" w:hRule="atLeast"/>
          <w:jc w:val="left"/>
        </w:trPr>
        <w:tc>
          <w:tcPr>
            <w:tcW w:w="77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</w:t>
            </w:r>
          </w:p>
        </w:tc>
        <w:tc>
          <w:tcPr>
            <w:tcW w:w="851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Возраст (возраста должны быть в соответствии с формой 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6)</w:t>
            </w:r>
          </w:p>
        </w:tc>
        <w:tc>
          <w:tcPr>
            <w:tcW w:w="31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Состоит на учете</w:t>
            </w:r>
          </w:p>
        </w:tc>
        <w:tc>
          <w:tcPr>
            <w:tcW w:w="2443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Вакцинация</w:t>
            </w:r>
          </w:p>
        </w:tc>
        <w:tc>
          <w:tcPr>
            <w:tcW w:w="2567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Ревакцинация</w:t>
            </w:r>
          </w:p>
        </w:tc>
        <w:tc>
          <w:tcPr>
            <w:tcW w:w="6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 не привито</w:t>
            </w:r>
          </w:p>
        </w:tc>
        <w:tc>
          <w:tcPr>
            <w:tcW w:w="3389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Причины отсутствия прививок</w:t>
            </w:r>
          </w:p>
        </w:tc>
      </w:tr>
      <w:tr>
        <w:trPr>
          <w:trHeight w:val="1" w:hRule="atLeast"/>
          <w:jc w:val="left"/>
        </w:trPr>
        <w:tc>
          <w:tcPr>
            <w:tcW w:w="77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 привито (абс.)</w:t>
            </w:r>
          </w:p>
        </w:tc>
        <w:tc>
          <w:tcPr>
            <w:tcW w:w="63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1V</w:t>
            </w:r>
          </w:p>
        </w:tc>
        <w:tc>
          <w:tcPr>
            <w:tcW w:w="6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2V</w:t>
            </w:r>
          </w:p>
        </w:tc>
        <w:tc>
          <w:tcPr>
            <w:tcW w:w="6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3V</w:t>
            </w:r>
          </w:p>
        </w:tc>
        <w:tc>
          <w:tcPr>
            <w:tcW w:w="109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 ревакцинировано (абс.)</w:t>
            </w:r>
          </w:p>
        </w:tc>
        <w:tc>
          <w:tcPr>
            <w:tcW w:w="6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R1</w:t>
            </w:r>
          </w:p>
        </w:tc>
        <w:tc>
          <w:tcPr>
            <w:tcW w:w="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более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Мед. отводы</w:t>
            </w:r>
          </w:p>
        </w:tc>
        <w:tc>
          <w:tcPr>
            <w:tcW w:w="92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Отказ от прививок</w:t>
            </w:r>
          </w:p>
        </w:tc>
        <w:tc>
          <w:tcPr>
            <w:tcW w:w="140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Нет задокументированных сведений</w:t>
            </w:r>
          </w:p>
        </w:tc>
        <w:tc>
          <w:tcPr>
            <w:tcW w:w="66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Другие причины</w:t>
            </w:r>
            <w:hyperlink xmlns:r="http://schemas.openxmlformats.org/officeDocument/2006/relationships" r:id="docRId42">
              <w:r>
                <w:rPr>
                  <w:rFonts w:ascii="Times New Roman" w:hAnsi="Times New Roman" w:cs="Times New Roman" w:eastAsia="Times New Roman"/>
                  <w:color w:val="3272C0"/>
                  <w:spacing w:val="0"/>
                  <w:position w:val="0"/>
                  <w:sz w:val="20"/>
                  <w:u w:val="single"/>
                  <w:shd w:fill="auto" w:val="clear"/>
                  <w:vertAlign w:val="superscript"/>
                </w:rPr>
                <w:t xml:space="preserve">*</w:t>
              </w:r>
            </w:hyperlink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7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абс. чис.</w:t>
            </w:r>
          </w:p>
        </w:tc>
        <w:tc>
          <w:tcPr>
            <w:tcW w:w="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%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абс. чис.</w:t>
            </w:r>
          </w:p>
        </w:tc>
        <w:tc>
          <w:tcPr>
            <w:tcW w:w="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%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абс. чис.</w:t>
            </w:r>
          </w:p>
        </w:tc>
        <w:tc>
          <w:tcPr>
            <w:tcW w:w="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%</w:t>
            </w:r>
          </w:p>
        </w:tc>
        <w:tc>
          <w:tcPr>
            <w:tcW w:w="109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абс. чис.</w:t>
            </w:r>
          </w:p>
        </w:tc>
        <w:tc>
          <w:tcPr>
            <w:tcW w:w="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%</w:t>
            </w:r>
          </w:p>
        </w:tc>
        <w:tc>
          <w:tcPr>
            <w:tcW w:w="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абс. чис.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%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абс. чис.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%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графы 3)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абс. чис.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%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графы 19)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абс. чис.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%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графы 19)</w:t>
            </w:r>
          </w:p>
        </w:tc>
        <w:tc>
          <w:tcPr>
            <w:tcW w:w="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абс. чис.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%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графы 19)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абс. чис.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%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графы 19)</w:t>
            </w:r>
          </w:p>
        </w:tc>
      </w:tr>
      <w:tr>
        <w:trPr>
          <w:trHeight w:val="1" w:hRule="atLeast"/>
          <w:jc w:val="left"/>
        </w:trPr>
        <w:tc>
          <w:tcPr>
            <w:tcW w:w="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0 - 2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мес. 29 дней</w:t>
            </w:r>
          </w:p>
        </w:tc>
        <w:tc>
          <w:tcPr>
            <w:tcW w:w="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мес. - 5 мес. 29 дней</w:t>
            </w:r>
          </w:p>
        </w:tc>
        <w:tc>
          <w:tcPr>
            <w:tcW w:w="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мес. - 11 мес. 29 дней</w:t>
            </w:r>
          </w:p>
        </w:tc>
        <w:tc>
          <w:tcPr>
            <w:tcW w:w="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 до года</w:t>
            </w:r>
          </w:p>
        </w:tc>
        <w:tc>
          <w:tcPr>
            <w:tcW w:w="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- 1 г. 11 мес. 29 дней</w:t>
            </w:r>
          </w:p>
        </w:tc>
        <w:tc>
          <w:tcPr>
            <w:tcW w:w="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- 2 г.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мес. 29 дней</w:t>
            </w:r>
          </w:p>
        </w:tc>
        <w:tc>
          <w:tcPr>
            <w:tcW w:w="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- 3 г.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11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мес. 29 дней</w:t>
            </w:r>
          </w:p>
        </w:tc>
        <w:tc>
          <w:tcPr>
            <w:tcW w:w="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 - 7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 11 мес. 29 дней</w:t>
            </w:r>
          </w:p>
        </w:tc>
        <w:tc>
          <w:tcPr>
            <w:tcW w:w="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 - 14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 11 мес. 29 дней</w:t>
            </w:r>
          </w:p>
        </w:tc>
        <w:tc>
          <w:tcPr>
            <w:tcW w:w="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мес. - 14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 11 мес. 29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дн.</w:t>
            </w:r>
          </w:p>
        </w:tc>
        <w:tc>
          <w:tcPr>
            <w:tcW w:w="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 - 17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 11 мес. 29 дней</w:t>
            </w:r>
          </w:p>
        </w:tc>
        <w:tc>
          <w:tcPr>
            <w:tcW w:w="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 - 39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 - 59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7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85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 и старше</w:t>
            </w:r>
          </w:p>
        </w:tc>
        <w:tc>
          <w:tcPr>
            <w:tcW w:w="3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2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9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773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616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</w:tc>
        <w:tc>
          <w:tcPr>
            <w:tcW w:w="551" w:type="dxa"/>
            <w:gridSpan w:val="2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21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78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88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91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7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58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5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4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62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99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11000" w:type="dxa"/>
            <w:gridSpan w:val="26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Примечание: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  <w:vertAlign w:val="superscript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необходимо кратко пояснить какие.</w:t>
            </w:r>
          </w:p>
        </w:tc>
      </w:tr>
    </w:tbl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                                                        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Таблица 12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Поствакцинальные реакции и осложнения на прививки против коклюша</w:t>
      </w:r>
    </w:p>
    <w:tbl>
      <w:tblPr/>
      <w:tblGrid>
        <w:gridCol w:w="567"/>
        <w:gridCol w:w="503"/>
        <w:gridCol w:w="697"/>
        <w:gridCol w:w="760"/>
        <w:gridCol w:w="863"/>
        <w:gridCol w:w="580"/>
        <w:gridCol w:w="425"/>
        <w:gridCol w:w="951"/>
        <w:gridCol w:w="677"/>
        <w:gridCol w:w="571"/>
        <w:gridCol w:w="783"/>
        <w:gridCol w:w="918"/>
        <w:gridCol w:w="1001"/>
        <w:gridCol w:w="1194"/>
      </w:tblGrid>
      <w:tr>
        <w:trPr>
          <w:trHeight w:val="1" w:hRule="atLeast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</w:t>
            </w:r>
          </w:p>
        </w:tc>
        <w:tc>
          <w:tcPr>
            <w:tcW w:w="50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Ф.И.О</w:t>
            </w:r>
          </w:p>
        </w:tc>
        <w:tc>
          <w:tcPr>
            <w:tcW w:w="69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Возраст (количество полных лет)</w:t>
            </w:r>
          </w:p>
        </w:tc>
        <w:tc>
          <w:tcPr>
            <w:tcW w:w="76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Адрес медицинской организации, где проводилась прививка</w:t>
            </w:r>
          </w:p>
        </w:tc>
        <w:tc>
          <w:tcPr>
            <w:tcW w:w="86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 прививки (1, 2, 3 вакцинация, ревакцинация)</w:t>
            </w:r>
          </w:p>
        </w:tc>
        <w:tc>
          <w:tcPr>
            <w:tcW w:w="195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Побочные проявления после иммунизации (ПППИ)</w:t>
            </w:r>
          </w:p>
        </w:tc>
        <w:tc>
          <w:tcPr>
            <w:tcW w:w="67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Название вакцинного препарата</w:t>
            </w:r>
          </w:p>
        </w:tc>
        <w:tc>
          <w:tcPr>
            <w:tcW w:w="57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 прививки</w:t>
            </w:r>
          </w:p>
        </w:tc>
        <w:tc>
          <w:tcPr>
            <w:tcW w:w="78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Серия, контрольный номер</w:t>
            </w:r>
          </w:p>
        </w:tc>
        <w:tc>
          <w:tcPr>
            <w:tcW w:w="91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Место госпитализации (наименование организации)</w:t>
            </w:r>
          </w:p>
        </w:tc>
        <w:tc>
          <w:tcPr>
            <w:tcW w:w="10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Первоначальный диагноз</w:t>
            </w:r>
          </w:p>
        </w:tc>
        <w:tc>
          <w:tcPr>
            <w:tcW w:w="119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Окончательный диагноз, кем подтвержден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0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9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6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Общие реакции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Местные реакции</w:t>
            </w:r>
          </w:p>
        </w:tc>
        <w:tc>
          <w:tcPr>
            <w:tcW w:w="9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Поствакцинальные осложнения</w:t>
            </w:r>
          </w:p>
        </w:tc>
        <w:tc>
          <w:tcPr>
            <w:tcW w:w="67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8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03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697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6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863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80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25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51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677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571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783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918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001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194" w:type="dxa"/>
            <w:tcBorders>
              <w:top w:val="single" w:color="000000" w:sz="4"/>
              <w:left w:val="single" w:color="000000" w:sz="0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</w:tbl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                                                        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Таблица 13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Результаты серологического мониторинга в индикаторных группах в 20__ г.</w:t>
      </w:r>
    </w:p>
    <w:tbl>
      <w:tblPr/>
      <w:tblGrid>
        <w:gridCol w:w="426"/>
        <w:gridCol w:w="1960"/>
        <w:gridCol w:w="2304"/>
        <w:gridCol w:w="2524"/>
        <w:gridCol w:w="442"/>
        <w:gridCol w:w="1880"/>
        <w:gridCol w:w="388"/>
      </w:tblGrid>
      <w:tr>
        <w:trPr>
          <w:trHeight w:val="1" w:hRule="atLeast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</w:t>
            </w:r>
          </w:p>
        </w:tc>
        <w:tc>
          <w:tcPr>
            <w:tcW w:w="1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Возрастная группа (лет)</w:t>
            </w:r>
          </w:p>
        </w:tc>
        <w:tc>
          <w:tcPr>
            <w:tcW w:w="2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 исследовано сывороток (абс.)</w:t>
            </w:r>
          </w:p>
        </w:tc>
        <w:tc>
          <w:tcPr>
            <w:tcW w:w="2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Сероположительные (абс.)</w:t>
            </w:r>
          </w:p>
        </w:tc>
        <w:tc>
          <w:tcPr>
            <w:tcW w:w="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%</w:t>
            </w:r>
          </w:p>
        </w:tc>
        <w:tc>
          <w:tcPr>
            <w:tcW w:w="1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Серонегативные (абс.)</w:t>
            </w:r>
          </w:p>
        </w:tc>
        <w:tc>
          <w:tcPr>
            <w:tcW w:w="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%</w:t>
            </w:r>
          </w:p>
        </w:tc>
      </w:tr>
      <w:tr>
        <w:trPr>
          <w:trHeight w:val="1" w:hRule="atLeast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3 - 4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</w:t>
            </w:r>
          </w:p>
        </w:tc>
        <w:tc>
          <w:tcPr>
            <w:tcW w:w="2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9 - 10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2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16 - 7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</w:t>
            </w:r>
          </w:p>
        </w:tc>
        <w:tc>
          <w:tcPr>
            <w:tcW w:w="2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  <w:tr>
        <w:trPr>
          <w:trHeight w:val="1" w:hRule="atLeast"/>
          <w:jc w:val="left"/>
        </w:trPr>
        <w:tc>
          <w:tcPr>
            <w:tcW w:w="4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9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</w:t>
            </w:r>
          </w:p>
        </w:tc>
        <w:tc>
          <w:tcPr>
            <w:tcW w:w="23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2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4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1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  <w:tc>
          <w:tcPr>
            <w:tcW w:w="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  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Приложение 2</w:t>
        <w:br/>
        <w:t xml:space="preserve">к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hyperlink xmlns:r="http://schemas.openxmlformats.org/officeDocument/2006/relationships" r:id="docRId43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4"/>
            <w:u w:val="single"/>
            <w:shd w:fill="FFFFFF" w:val="clear"/>
          </w:rPr>
          <w:t xml:space="preserve">МУ 3.1.2.4066-24</w:t>
        </w:r>
      </w:hyperlink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br/>
        <w:t xml:space="preserve">(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рекомендуемый образец)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                          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Пример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направления биологического материала для лабораторного исследования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                     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в Референс-центр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Исследование бактериального штамма / ПЦР-образца _______________________,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выделенного от больного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Фамилия, имя, отчество больного (при наличии) ___________________________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Возраст _________________________________________________________________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Адрес места проживания __________________________________________________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Адрес регистрации по месту жительства ___________________________________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Диагноз _________________________________________________________________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Дата заболевания или контакта ___________________________________________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Данные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о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вакцинации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против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коклюшной инфекции (вакцинирован, даты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и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количество полученных доз с указанием вакцины /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не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вакцинирован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/ 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нет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данных)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Наименование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медицинской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организации,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направившей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материал на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исследование ____________________________________________________________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Телефон ________________, адрес электронной почты _______________________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Дата взятия материала ___________________________________________________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Образец выделен _________________________________________________________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                        (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наименование медицинской организации)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Телефон ________________, адрес электронной почты _______________________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Дата выделения штамма / ПЦР-образца _____________________________________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Транспортировка проводится (указать условия, среда) _____________________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Контактный телефон ______________________________________________________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Дата отправления ________________________________________________________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Должность ответственного специалиста ____________________________________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Подпись ответственного специалиста с расшифровкой фамилии 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Приложение 3</w:t>
        <w:br/>
        <w:t xml:space="preserve">к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hyperlink xmlns:r="http://schemas.openxmlformats.org/officeDocument/2006/relationships" r:id="docRId44">
        <w:r>
          <w:rPr>
            <w:rFonts w:ascii="Times New Roman" w:hAnsi="Times New Roman" w:cs="Times New Roman" w:eastAsia="Times New Roman"/>
            <w:color w:val="3272C0"/>
            <w:spacing w:val="0"/>
            <w:position w:val="0"/>
            <w:sz w:val="24"/>
            <w:u w:val="single"/>
            <w:shd w:fill="FFFFFF" w:val="clear"/>
          </w:rPr>
          <w:t xml:space="preserve">МУ 3.1.2.4066-24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  <w:t xml:space="preserve">Рекомендуемые условия по хранению и транспортировки биологического материала, бактериальных культур и клинических образцов, содержащих возбудители коклюша и заболеваний, обусловленных другими бордетеллами</w:t>
      </w:r>
    </w:p>
    <w:tbl>
      <w:tblPr/>
      <w:tblGrid>
        <w:gridCol w:w="710"/>
        <w:gridCol w:w="1417"/>
        <w:gridCol w:w="1803"/>
        <w:gridCol w:w="1102"/>
        <w:gridCol w:w="1559"/>
        <w:gridCol w:w="1220"/>
        <w:gridCol w:w="1683"/>
        <w:gridCol w:w="1354"/>
        <w:gridCol w:w="2679"/>
      </w:tblGrid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Объекты исследования</w:t>
            </w:r>
          </w:p>
        </w:tc>
        <w:tc>
          <w:tcPr>
            <w:tcW w:w="18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Условия хранения</w:t>
            </w:r>
          </w:p>
        </w:tc>
        <w:tc>
          <w:tcPr>
            <w:tcW w:w="388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Температура</w:t>
            </w:r>
          </w:p>
        </w:tc>
        <w:tc>
          <w:tcPr>
            <w:tcW w:w="30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 хранения в лаборатории до транспортировки в Референс-центр</w:t>
            </w:r>
          </w:p>
        </w:tc>
        <w:tc>
          <w:tcPr>
            <w:tcW w:w="267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Условия транспортировки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Биологический материал (тампоны) и клинические образцы (выделенная ДНК), содержащие возбудители коклюша или заболеваний, обусловленных другими бордетеллами</w:t>
            </w:r>
          </w:p>
        </w:tc>
        <w:tc>
          <w:tcPr>
            <w:tcW w:w="29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пробирке типа "микроцентрифужная" с 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мл стерильного 0,9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%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раствора NaCl или в 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мл транспортной среды для респираторных мазков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минус 5 - до минус 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°C</w:t>
            </w:r>
          </w:p>
        </w:tc>
        <w:tc>
          <w:tcPr>
            <w:tcW w:w="29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10 дней</w:t>
            </w:r>
          </w:p>
        </w:tc>
        <w:tc>
          <w:tcPr>
            <w:tcW w:w="403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термоконтейнере с охлаждающим элементом, температура плюс 2 - 8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41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Бактериальные культуры бордетелл</w:t>
            </w:r>
          </w:p>
        </w:tc>
        <w:tc>
          <w:tcPr>
            <w:tcW w:w="29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а) на чашке или в пробирке с скошенным Бордетелагаром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плюс 2 - до плюс 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°C</w:t>
            </w:r>
          </w:p>
        </w:tc>
        <w:tc>
          <w:tcPr>
            <w:tcW w:w="29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7 дней</w:t>
            </w:r>
          </w:p>
        </w:tc>
        <w:tc>
          <w:tcPr>
            <w:tcW w:w="403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термоконтейнере с охлаждающим элементом, температура плюс 2 - 8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°C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б) на среде хранения (полужидкий казеино-угольный агар (КУ А) с добавлением крови, приготовленный в соответствии с методическими документами</w:t>
            </w:r>
            <w:hyperlink xmlns:r="http://schemas.openxmlformats.org/officeDocument/2006/relationships" r:id="docRId45">
              <w:r>
                <w:rPr>
                  <w:rFonts w:ascii="Times New Roman" w:hAnsi="Times New Roman" w:cs="Times New Roman" w:eastAsia="Times New Roman"/>
                  <w:color w:val="3272C0"/>
                  <w:spacing w:val="0"/>
                  <w:position w:val="0"/>
                  <w:sz w:val="20"/>
                  <w:u w:val="single"/>
                  <w:shd w:fill="auto" w:val="clear"/>
                  <w:vertAlign w:val="superscript"/>
                </w:rPr>
                <w:t xml:space="preserve">11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плюс 2 - до плюс 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°C</w:t>
            </w:r>
          </w:p>
        </w:tc>
        <w:tc>
          <w:tcPr>
            <w:tcW w:w="29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10 дней</w:t>
            </w:r>
          </w:p>
        </w:tc>
        <w:tc>
          <w:tcPr>
            <w:tcW w:w="403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термоконтейнере с охлаждающим элементом, температура плюс 2 - 8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°C</w:t>
            </w:r>
          </w:p>
        </w:tc>
      </w:tr>
      <w:tr>
        <w:trPr>
          <w:trHeight w:val="1" w:hRule="atLeast"/>
          <w:jc w:val="left"/>
        </w:trPr>
        <w:tc>
          <w:tcPr>
            <w:tcW w:w="71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05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в) взвесь культуры в 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мл стерильного 0,9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%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раствора NaCl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минус 5 - до минус 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°C</w:t>
            </w:r>
          </w:p>
        </w:tc>
        <w:tc>
          <w:tcPr>
            <w:tcW w:w="290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 14 дней</w:t>
            </w:r>
          </w:p>
        </w:tc>
        <w:tc>
          <w:tcPr>
            <w:tcW w:w="403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термоконтейнере с охлаждающим элементом, температура плюс 2 - 8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°C</w:t>
            </w:r>
          </w:p>
        </w:tc>
      </w:tr>
    </w:tbl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------------------------------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0"/>
          <w:shd w:fill="FFFFFF" w:val="clear"/>
          <w:vertAlign w:val="superscript"/>
        </w:rPr>
        <w:t xml:space="preserve">11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Пункт 8.12.2 МУК 4.2.3701-21.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------------------------------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22272F"/>
          <w:spacing w:val="0"/>
          <w:position w:val="0"/>
          <w:sz w:val="27"/>
          <w:shd w:fill="FFFFFF" w:val="clear"/>
        </w:rPr>
        <w:t xml:space="preserve">Библиографические ссылки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1.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Федеральный закон от 30.03.1999 N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52-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ФЗ "О санитарно-эпидемиологическом благополучии населения".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Федеральный закон от 21.11.2011 N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323-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ФЗ "Об основах охраны здоровья граждан в Российской Федерации".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3.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Постановление Правительства Российской Федерации от 27.12.2012 N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1416 "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Об утверждении Правил государственной регистрации медицинских изделий".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СанПиН 3.3686-21 "Санитарно-эпидемиологические требования по профилактике инфекционных болезней".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Приказ Минздрава России от 06.12.2021 N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1122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н "Об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прививок".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7.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Положение об эпидемиологическом мониторинге за инфекционными и паразитарными болезнями.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8.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МУ 3.1.2943-11 "Организация и проведение серологического мониторинга состояния коллективного иммунитета к инфекциям, управляемым средствами специфической профилактики (дифтерия, столбняк, коклюш, корь, краснуха, эпидемический паротит, полиомиелит, гепатит В)".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9.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МУК 4.2.3701-21 "Лабораторная диагностика коклюша и заболеваний, обусловленных другими бордетеллами".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10.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Литусов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Н.В. Возбудители коклюша и паракоклюша: иллюстрированное учебное пособие / Н.В.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Литусов. - Екатеринбург: УГМА, 2013. - 32 с.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11.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Харит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С.М. Вакцинопрофилактика коклюша: проблемы, возможные решения / С.М.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Харит, О.В.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Иозефович, И.В.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Фридман [и др.] // Журнал инфектологии. - 2020. - Т. 12, N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2. 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С. 50-57.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12.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Басов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А.А. Эпидемический процесс коклюша в Российской Федерации в условиях массовой специфической профилактики / А.А.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Басов, А.С.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Пименова, О.В.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Цвиркун, А.Г.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Герасимова, Н.В.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Россошанская, В.Н.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Бабенко// Эпидемиология и вакцинопрофилактика, 2012. - N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4 (65). 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С. 23-28.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13.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Басов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А.А. Состояние специфического иммунитета к коклюшу в разных возрастных группах детей / А.А.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Басов, О.В.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Цвиркун, А.Г.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Герасимова [и др.] // Эпидемиология и вакцинопрофилактика. - 2015. - Т. 14, N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3(82). 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С. 84-88.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14.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Курова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Н.Н. Противококлюшный иммунитет у детей в городах Северо-Западного Федерального округа с разной численностью населения/ Н.Н.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Курова, Г.Я.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Ценева, А.Б.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Жебрун // Журнал микробиологии эпидемиологии и иммунологии, 2013. т. N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4 - C. 33-37.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15.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Борисова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О.Ю. Особенности структуры генов, кодирующих а- и в-комплексы коклюшного токсина штаммов Bordetella pertussis / О.Ю.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Борисова, Н.Т.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Гадуа, Н.Я.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Салова [и др.] // Молекулярная медицина. - 2012. - N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1. 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С. 44-48.</w:t>
      </w:r>
    </w:p>
    <w:p>
      <w:pPr>
        <w:spacing w:before="0" w:after="300" w:line="240"/>
        <w:ind w:right="0" w:left="0" w:firstLine="0"/>
        <w:jc w:val="left"/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16.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Пименова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А.С. Эффективность применения молекулярно-генетической диагностики при обследовании очагов коклюшной инфекции / А.С.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Пименова, О.Ю.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Борисова, О.В.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Цвиркун [и др.] // Инфекция и иммунитет - 2017. - N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 2 - </w:t>
      </w:r>
      <w:r>
        <w:rPr>
          <w:rFonts w:ascii="Times New Roman" w:hAnsi="Times New Roman" w:cs="Times New Roman" w:eastAsia="Times New Roman"/>
          <w:color w:val="464C55"/>
          <w:spacing w:val="0"/>
          <w:position w:val="0"/>
          <w:sz w:val="24"/>
          <w:shd w:fill="FFFFFF" w:val="clear"/>
        </w:rPr>
        <w:t xml:space="preserve">С. 162 - 170.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base.garant.ru/410651674/" Id="docRId7" Type="http://schemas.openxmlformats.org/officeDocument/2006/relationships/hyperlink"/><Relationship TargetMode="External" Target="https://base.garant.ru/410651674/" Id="docRId14" Type="http://schemas.openxmlformats.org/officeDocument/2006/relationships/hyperlink"/><Relationship TargetMode="External" Target="https://base.garant.ru/410651674/" Id="docRId34" Type="http://schemas.openxmlformats.org/officeDocument/2006/relationships/hyperlink"/><Relationship Target="styles.xml" Id="docRId47" Type="http://schemas.openxmlformats.org/officeDocument/2006/relationships/styles"/><Relationship TargetMode="External" Target="https://base.garant.ru/410651674/" Id="docRId22" Type="http://schemas.openxmlformats.org/officeDocument/2006/relationships/hyperlink"/><Relationship TargetMode="External" Target="https://base.garant.ru/410651674/" Id="docRId9" Type="http://schemas.openxmlformats.org/officeDocument/2006/relationships/hyperlink"/><Relationship TargetMode="External" Target="https://base.garant.ru/410651674/" Id="docRId0" Type="http://schemas.openxmlformats.org/officeDocument/2006/relationships/hyperlink"/><Relationship TargetMode="External" Target="https://base.garant.ru/410651674/" Id="docRId29" Type="http://schemas.openxmlformats.org/officeDocument/2006/relationships/hyperlink"/><Relationship TargetMode="External" Target="https://base.garant.ru/410651674/" Id="docRId36" Type="http://schemas.openxmlformats.org/officeDocument/2006/relationships/hyperlink"/><Relationship TargetMode="External" Target="https://base.garant.ru/410651674/" Id="docRId13" Type="http://schemas.openxmlformats.org/officeDocument/2006/relationships/hyperlink"/><Relationship TargetMode="External" Target="https://base.garant.ru/410651674/" Id="docRId20" Type="http://schemas.openxmlformats.org/officeDocument/2006/relationships/hyperlink"/><Relationship TargetMode="External" Target="https://base.garant.ru/410651674/" Id="docRId28" Type="http://schemas.openxmlformats.org/officeDocument/2006/relationships/hyperlink"/><Relationship TargetMode="External" Target="https://base.garant.ru/410651674/" Id="docRId3" Type="http://schemas.openxmlformats.org/officeDocument/2006/relationships/hyperlink"/><Relationship TargetMode="External" Target="https://base.garant.ru/410651674/" Id="docRId37" Type="http://schemas.openxmlformats.org/officeDocument/2006/relationships/hyperlink"/><Relationship TargetMode="External" Target="https://base.garant.ru/410651674/" Id="docRId40" Type="http://schemas.openxmlformats.org/officeDocument/2006/relationships/hyperlink"/><Relationship TargetMode="External" Target="https://base.garant.ru/410651674/" Id="docRId10" Type="http://schemas.openxmlformats.org/officeDocument/2006/relationships/hyperlink"/><Relationship TargetMode="External" Target="https://base.garant.ru/410651674/" Id="docRId18" Type="http://schemas.openxmlformats.org/officeDocument/2006/relationships/hyperlink"/><Relationship TargetMode="External" Target="https://base.garant.ru/410651674/" Id="docRId2" Type="http://schemas.openxmlformats.org/officeDocument/2006/relationships/hyperlink"/><Relationship TargetMode="External" Target="https://base.garant.ru/410651674/" Id="docRId27" Type="http://schemas.openxmlformats.org/officeDocument/2006/relationships/hyperlink"/><Relationship TargetMode="External" Target="https://base.garant.ru/410651674/" Id="docRId30" Type="http://schemas.openxmlformats.org/officeDocument/2006/relationships/hyperlink"/><Relationship TargetMode="External" Target="https://base.garant.ru/410651674/" Id="docRId38" Type="http://schemas.openxmlformats.org/officeDocument/2006/relationships/hyperlink"/><Relationship TargetMode="External" Target="https://base.garant.ru/410651674/" Id="docRId43" Type="http://schemas.openxmlformats.org/officeDocument/2006/relationships/hyperlink"/><Relationship TargetMode="External" Target="https://base.garant.ru/410651674/" Id="docRId11" Type="http://schemas.openxmlformats.org/officeDocument/2006/relationships/hyperlink"/><Relationship TargetMode="External" Target="https://base.garant.ru/410651674/" Id="docRId19" Type="http://schemas.openxmlformats.org/officeDocument/2006/relationships/hyperlink"/><Relationship TargetMode="External" Target="https://base.garant.ru/410651674/" Id="docRId26" Type="http://schemas.openxmlformats.org/officeDocument/2006/relationships/hyperlink"/><Relationship TargetMode="External" Target="https://base.garant.ru/410651674/" Id="docRId31" Type="http://schemas.openxmlformats.org/officeDocument/2006/relationships/hyperlink"/><Relationship TargetMode="External" Target="https://base.garant.ru/410651674/" Id="docRId39" Type="http://schemas.openxmlformats.org/officeDocument/2006/relationships/hyperlink"/><Relationship TargetMode="External" Target="https://base.garant.ru/410651674/" Id="docRId42" Type="http://schemas.openxmlformats.org/officeDocument/2006/relationships/hyperlink"/><Relationship TargetMode="External" Target="https://base.garant.ru/410651674/" Id="docRId5" Type="http://schemas.openxmlformats.org/officeDocument/2006/relationships/hyperlink"/><Relationship TargetMode="External" Target="https://base.garant.ru/410651674/" Id="docRId16" Type="http://schemas.openxmlformats.org/officeDocument/2006/relationships/hyperlink"/><Relationship TargetMode="External" Target="https://base.garant.ru/410651674/" Id="docRId25" Type="http://schemas.openxmlformats.org/officeDocument/2006/relationships/hyperlink"/><Relationship TargetMode="External" Target="https://base.garant.ru/410651674/" Id="docRId32" Type="http://schemas.openxmlformats.org/officeDocument/2006/relationships/hyperlink"/><Relationship TargetMode="External" Target="https://base.garant.ru/410651674/" Id="docRId4" Type="http://schemas.openxmlformats.org/officeDocument/2006/relationships/hyperlink"/><Relationship TargetMode="External" Target="https://base.garant.ru/410651674/" Id="docRId45" Type="http://schemas.openxmlformats.org/officeDocument/2006/relationships/hyperlink"/><Relationship TargetMode="External" Target="https://base.garant.ru/410651674/" Id="docRId17" Type="http://schemas.openxmlformats.org/officeDocument/2006/relationships/hyperlink"/><Relationship TargetMode="External" Target="https://base.garant.ru/410651674/" Id="docRId24" Type="http://schemas.openxmlformats.org/officeDocument/2006/relationships/hyperlink"/><Relationship TargetMode="External" Target="https://base.garant.ru/410651674/" Id="docRId33" Type="http://schemas.openxmlformats.org/officeDocument/2006/relationships/hyperlink"/><Relationship TargetMode="External" Target="https://base.garant.ru/410651674/" Id="docRId44" Type="http://schemas.openxmlformats.org/officeDocument/2006/relationships/hyperlink"/><Relationship TargetMode="External" Target="https://base.garant.ru/410651674/" Id="docRId23" Type="http://schemas.openxmlformats.org/officeDocument/2006/relationships/hyperlink"/><Relationship TargetMode="External" Target="https://base.garant.ru/410651674/" Id="docRId6" Type="http://schemas.openxmlformats.org/officeDocument/2006/relationships/hyperlink"/><Relationship TargetMode="External" Target="https://base.garant.ru/410651674/" Id="docRId1" Type="http://schemas.openxmlformats.org/officeDocument/2006/relationships/hyperlink"/><Relationship TargetMode="External" Target="https://base.garant.ru/410651674/" Id="docRId15" Type="http://schemas.openxmlformats.org/officeDocument/2006/relationships/hyperlink"/><Relationship TargetMode="External" Target="https://base.garant.ru/410651674/" Id="docRId35" Type="http://schemas.openxmlformats.org/officeDocument/2006/relationships/hyperlink"/><Relationship Target="numbering.xml" Id="docRId46" Type="http://schemas.openxmlformats.org/officeDocument/2006/relationships/numbering"/><Relationship TargetMode="External" Target="https://base.garant.ru/410651674/" Id="docRId12" Type="http://schemas.openxmlformats.org/officeDocument/2006/relationships/hyperlink"/><Relationship TargetMode="External" Target="https://base.garant.ru/410651674/" Id="docRId21" Type="http://schemas.openxmlformats.org/officeDocument/2006/relationships/hyperlink"/><Relationship TargetMode="External" Target="https://base.garant.ru/410651674/" Id="docRId41" Type="http://schemas.openxmlformats.org/officeDocument/2006/relationships/hyperlink"/><Relationship TargetMode="External" Target="https://base.garant.ru/410651674/" Id="docRId8" Type="http://schemas.openxmlformats.org/officeDocument/2006/relationships/hyperlink"/></Relationships>
</file>