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93C" w:rsidRPr="0086493C" w:rsidRDefault="0086493C" w:rsidP="0086493C">
      <w:pPr>
        <w:shd w:val="clear" w:color="auto" w:fill="FFFFFF"/>
        <w:spacing w:after="0" w:line="240" w:lineRule="auto"/>
        <w:jc w:val="right"/>
        <w:rPr>
          <w:rFonts w:ascii="Times New Roman" w:eastAsia="Times New Roman" w:hAnsi="Times New Roman" w:cs="Times New Roman"/>
          <w:color w:val="000000"/>
          <w:sz w:val="28"/>
          <w:szCs w:val="28"/>
          <w:lang w:eastAsia="ru-RU"/>
        </w:rPr>
      </w:pPr>
      <w:bookmarkStart w:id="0" w:name="_GoBack"/>
      <w:bookmarkEnd w:id="0"/>
    </w:p>
    <w:p w:rsidR="0086493C" w:rsidRPr="0086493C" w:rsidRDefault="0086493C" w:rsidP="0086493C">
      <w:pPr>
        <w:shd w:val="clear" w:color="auto" w:fill="FFFFFF"/>
        <w:spacing w:after="0" w:line="240" w:lineRule="auto"/>
        <w:jc w:val="center"/>
        <w:rPr>
          <w:rFonts w:ascii="Times New Roman" w:eastAsia="Times New Roman" w:hAnsi="Times New Roman" w:cs="Times New Roman"/>
          <w:b/>
          <w:color w:val="000000"/>
          <w:sz w:val="28"/>
          <w:szCs w:val="28"/>
          <w:lang w:eastAsia="ru-RU"/>
        </w:rPr>
      </w:pPr>
      <w:bookmarkStart w:id="1" w:name="Par195"/>
      <w:bookmarkEnd w:id="1"/>
      <w:r w:rsidRPr="0086493C">
        <w:rPr>
          <w:rFonts w:ascii="Times New Roman" w:eastAsia="Times New Roman" w:hAnsi="Times New Roman" w:cs="Times New Roman"/>
          <w:b/>
          <w:color w:val="000000"/>
          <w:sz w:val="28"/>
          <w:szCs w:val="28"/>
          <w:lang w:eastAsia="ru-RU"/>
        </w:rPr>
        <w:t>Уведомление</w:t>
      </w:r>
    </w:p>
    <w:p w:rsidR="0086493C" w:rsidRPr="0086493C" w:rsidRDefault="0086493C" w:rsidP="0086493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о проведении публичных консультаций в рамках процедуры оценки</w:t>
      </w:r>
    </w:p>
    <w:p w:rsidR="0086493C" w:rsidRPr="0086493C" w:rsidRDefault="0086493C" w:rsidP="0086493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регулирующего воздействия</w:t>
      </w:r>
    </w:p>
    <w:p w:rsidR="0086493C" w:rsidRPr="0086493C" w:rsidRDefault="0086493C" w:rsidP="0086493C">
      <w:pPr>
        <w:shd w:val="clear" w:color="auto" w:fill="FFFFFF"/>
        <w:spacing w:after="0" w:line="240" w:lineRule="auto"/>
        <w:ind w:firstLine="709"/>
        <w:jc w:val="center"/>
        <w:rPr>
          <w:rFonts w:ascii="Times New Roman" w:eastAsia="Times New Roman" w:hAnsi="Times New Roman" w:cs="Times New Roman"/>
          <w:color w:val="000000"/>
          <w:sz w:val="24"/>
          <w:szCs w:val="24"/>
          <w:lang w:eastAsia="ru-RU"/>
        </w:rPr>
      </w:pPr>
    </w:p>
    <w:p w:rsidR="0086493C" w:rsidRPr="0086493C" w:rsidRDefault="0086493C"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Настоящим </w:t>
      </w:r>
      <w:r w:rsidRPr="00C03742">
        <w:rPr>
          <w:rFonts w:ascii="Times New Roman" w:eastAsia="Times New Roman" w:hAnsi="Times New Roman" w:cs="Times New Roman"/>
          <w:color w:val="000000"/>
          <w:sz w:val="24"/>
          <w:szCs w:val="24"/>
          <w:lang w:eastAsia="ru-RU"/>
        </w:rPr>
        <w:t>комитет по экономике, инвестициям и развитию АПК администрации муниципального образования Веневский район</w:t>
      </w:r>
    </w:p>
    <w:p w:rsidR="00C03742" w:rsidRDefault="00C03742" w:rsidP="0086493C">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86493C" w:rsidRPr="0086493C" w:rsidRDefault="0086493C" w:rsidP="008649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извещает о начале обсуждения идеи (концепции) предлагаемого правового регулирования и сборе предложений заинтересованных лиц.</w:t>
      </w:r>
    </w:p>
    <w:p w:rsidR="0086493C" w:rsidRPr="0086493C" w:rsidRDefault="0086493C"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Предложения принимаются по адресу: </w:t>
      </w:r>
      <w:r w:rsidRPr="0086493C">
        <w:rPr>
          <w:rFonts w:ascii="Times New Roman" w:eastAsia="Times New Roman" w:hAnsi="Times New Roman" w:cs="Times New Roman"/>
          <w:color w:val="000000"/>
          <w:sz w:val="24"/>
          <w:szCs w:val="24"/>
          <w:lang w:eastAsia="ru-RU"/>
        </w:rPr>
        <w:t xml:space="preserve">г. Венев, пл. Ильича, д.4, </w:t>
      </w:r>
      <w:proofErr w:type="spellStart"/>
      <w:r w:rsidRPr="0086493C">
        <w:rPr>
          <w:rFonts w:ascii="Times New Roman" w:eastAsia="Times New Roman" w:hAnsi="Times New Roman" w:cs="Times New Roman"/>
          <w:color w:val="000000"/>
          <w:sz w:val="24"/>
          <w:szCs w:val="24"/>
          <w:lang w:eastAsia="ru-RU"/>
        </w:rPr>
        <w:t>каб</w:t>
      </w:r>
      <w:proofErr w:type="spellEnd"/>
      <w:r w:rsidRPr="0086493C">
        <w:rPr>
          <w:rFonts w:ascii="Times New Roman" w:eastAsia="Times New Roman" w:hAnsi="Times New Roman" w:cs="Times New Roman"/>
          <w:color w:val="000000"/>
          <w:sz w:val="24"/>
          <w:szCs w:val="24"/>
          <w:lang w:eastAsia="ru-RU"/>
        </w:rPr>
        <w:t>. 208 (комитет по экономике, инвестициям и развитию АПК администрации муниципального образования Веневский район)</w:t>
      </w:r>
      <w:r w:rsidRPr="0086493C">
        <w:rPr>
          <w:rFonts w:ascii="Times New Roman" w:eastAsia="Times New Roman" w:hAnsi="Times New Roman" w:cs="Times New Roman"/>
          <w:color w:val="000000"/>
          <w:sz w:val="24"/>
          <w:szCs w:val="24"/>
          <w:lang w:eastAsia="ru-RU"/>
        </w:rPr>
        <w:t>,</w:t>
      </w:r>
    </w:p>
    <w:p w:rsidR="0086493C" w:rsidRPr="0086493C" w:rsidRDefault="0086493C" w:rsidP="0086493C">
      <w:pPr>
        <w:shd w:val="clear" w:color="auto" w:fill="FFFFFF"/>
        <w:spacing w:after="0" w:line="240" w:lineRule="auto"/>
        <w:ind w:left="708"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а также по адресу электронной почты:</w:t>
      </w:r>
      <w:r w:rsidRPr="0086493C">
        <w:rPr>
          <w:rFonts w:ascii="Times New Roman" w:eastAsia="Calibri" w:hAnsi="Times New Roman" w:cs="Times New Roman"/>
          <w:sz w:val="28"/>
        </w:rPr>
        <w:t xml:space="preserve"> </w:t>
      </w:r>
      <w:r w:rsidRPr="0086493C">
        <w:rPr>
          <w:rFonts w:ascii="Times New Roman" w:eastAsia="Times New Roman" w:hAnsi="Times New Roman" w:cs="Times New Roman"/>
          <w:color w:val="000000"/>
          <w:sz w:val="24"/>
          <w:szCs w:val="24"/>
          <w:lang w:eastAsia="ru-RU"/>
        </w:rPr>
        <w:t>economikavenev@tularegion.org</w:t>
      </w:r>
      <w:r>
        <w:rPr>
          <w:rFonts w:ascii="Times New Roman" w:eastAsia="Times New Roman" w:hAnsi="Times New Roman" w:cs="Times New Roman"/>
          <w:color w:val="000000"/>
          <w:sz w:val="24"/>
          <w:szCs w:val="24"/>
          <w:lang w:eastAsia="ru-RU"/>
        </w:rPr>
        <w:t>.</w:t>
      </w:r>
    </w:p>
    <w:p w:rsidR="0086493C" w:rsidRPr="0086493C" w:rsidRDefault="0086493C"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Сроки приема предложений: </w:t>
      </w:r>
      <w:r w:rsidR="00C03742">
        <w:rPr>
          <w:rFonts w:ascii="Times New Roman" w:eastAsia="Times New Roman" w:hAnsi="Times New Roman" w:cs="Times New Roman"/>
          <w:color w:val="000000"/>
          <w:sz w:val="24"/>
          <w:szCs w:val="24"/>
          <w:lang w:eastAsia="ru-RU"/>
        </w:rPr>
        <w:t>с 07.08.2019 по 2</w:t>
      </w:r>
      <w:r w:rsidR="00C03742" w:rsidRPr="00C03742">
        <w:rPr>
          <w:rFonts w:ascii="Times New Roman" w:eastAsia="Times New Roman" w:hAnsi="Times New Roman" w:cs="Times New Roman"/>
          <w:color w:val="000000"/>
          <w:sz w:val="24"/>
          <w:szCs w:val="24"/>
          <w:lang w:eastAsia="ru-RU"/>
        </w:rPr>
        <w:t>1.08.2019.</w:t>
      </w:r>
    </w:p>
    <w:p w:rsidR="0086493C" w:rsidRPr="0086493C" w:rsidRDefault="0086493C"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Место размещения уведомления о подготовке проекта нормативного правового акта в информационно-телекоммуникационной сети «Интернет» (электронный адрес): </w:t>
      </w:r>
      <w:r w:rsidR="0095153F" w:rsidRPr="0095153F">
        <w:rPr>
          <w:rFonts w:ascii="Times New Roman" w:eastAsia="Times New Roman" w:hAnsi="Times New Roman" w:cs="Times New Roman"/>
          <w:color w:val="000000"/>
          <w:sz w:val="24"/>
          <w:szCs w:val="24"/>
          <w:lang w:eastAsia="ru-RU"/>
        </w:rPr>
        <w:t>https://venev.tularegion.ru/documents/?SECTION=16273&amp;SECTION_CHILD=publichnye-konsultatsii&amp;YEAR=null&amp;TYPE_FILE=null#</w:t>
      </w:r>
      <w:r w:rsidR="0095153F">
        <w:rPr>
          <w:rFonts w:ascii="Times New Roman" w:eastAsia="Times New Roman" w:hAnsi="Times New Roman" w:cs="Times New Roman"/>
          <w:color w:val="000000"/>
          <w:sz w:val="24"/>
          <w:szCs w:val="24"/>
          <w:lang w:eastAsia="ru-RU"/>
        </w:rPr>
        <w:t>.</w:t>
      </w:r>
    </w:p>
    <w:p w:rsidR="0086493C" w:rsidRDefault="0086493C"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Все поступившие предложения будут рассмотрены. Сво</w:t>
      </w:r>
      <w:r w:rsidR="0095153F">
        <w:rPr>
          <w:rFonts w:ascii="Times New Roman" w:eastAsia="Times New Roman" w:hAnsi="Times New Roman" w:cs="Times New Roman"/>
          <w:color w:val="000000"/>
          <w:sz w:val="24"/>
          <w:szCs w:val="24"/>
          <w:lang w:eastAsia="ru-RU"/>
        </w:rPr>
        <w:t>дка предложений будет размещена по ссылке:</w:t>
      </w:r>
      <w:r w:rsidR="0095153F" w:rsidRPr="0095153F">
        <w:t xml:space="preserve"> </w:t>
      </w:r>
      <w:hyperlink r:id="rId6" w:history="1">
        <w:r w:rsidR="0095153F" w:rsidRPr="00F5165A">
          <w:rPr>
            <w:rStyle w:val="a3"/>
            <w:rFonts w:ascii="Times New Roman" w:eastAsia="Times New Roman" w:hAnsi="Times New Roman" w:cs="Times New Roman"/>
            <w:sz w:val="24"/>
            <w:szCs w:val="24"/>
            <w:lang w:eastAsia="ru-RU"/>
          </w:rPr>
          <w:t>https://venev.tularegion.ru/documents/?SECTION=16273&amp;SECTION_CHILD=publichnye-konsultatsii&amp;YEAR=null&amp;TYPE_FILE=null#</w:t>
        </w:r>
      </w:hyperlink>
    </w:p>
    <w:p w:rsidR="0095153F" w:rsidRPr="0086493C" w:rsidRDefault="0095153F" w:rsidP="0086493C">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86493C" w:rsidRPr="0086493C" w:rsidRDefault="0086493C" w:rsidP="008649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не позднее </w:t>
      </w:r>
      <w:r w:rsidR="0095153F">
        <w:rPr>
          <w:rFonts w:ascii="Times New Roman" w:eastAsia="Times New Roman" w:hAnsi="Times New Roman" w:cs="Times New Roman"/>
          <w:color w:val="000000"/>
          <w:sz w:val="24"/>
          <w:szCs w:val="24"/>
          <w:lang w:eastAsia="ru-RU"/>
        </w:rPr>
        <w:t>2</w:t>
      </w:r>
      <w:r w:rsidR="002C6CB6">
        <w:rPr>
          <w:rFonts w:ascii="Times New Roman" w:eastAsia="Times New Roman" w:hAnsi="Times New Roman" w:cs="Times New Roman"/>
          <w:color w:val="000000"/>
          <w:sz w:val="24"/>
          <w:szCs w:val="24"/>
          <w:lang w:eastAsia="ru-RU"/>
        </w:rPr>
        <w:t>8</w:t>
      </w:r>
      <w:r w:rsidR="0095153F">
        <w:rPr>
          <w:rFonts w:ascii="Times New Roman" w:eastAsia="Times New Roman" w:hAnsi="Times New Roman" w:cs="Times New Roman"/>
          <w:color w:val="000000"/>
          <w:sz w:val="24"/>
          <w:szCs w:val="24"/>
          <w:lang w:eastAsia="ru-RU"/>
        </w:rPr>
        <w:t>.08.2019.</w:t>
      </w:r>
    </w:p>
    <w:p w:rsidR="0086493C" w:rsidRPr="0086493C" w:rsidRDefault="0086493C" w:rsidP="00557CB4">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1. Описание проблемы, на решение которой направлено предлагаемое правовое регулирование: </w:t>
      </w:r>
      <w:r w:rsidR="00557CB4">
        <w:rPr>
          <w:rFonts w:ascii="Times New Roman" w:eastAsia="Times New Roman" w:hAnsi="Times New Roman" w:cs="Times New Roman"/>
          <w:color w:val="000000"/>
          <w:sz w:val="24"/>
          <w:szCs w:val="24"/>
          <w:lang w:eastAsia="ru-RU"/>
        </w:rPr>
        <w:t xml:space="preserve">создание условий для развития конкуренции, </w:t>
      </w:r>
      <w:r w:rsidR="00557CB4" w:rsidRPr="00557CB4">
        <w:rPr>
          <w:rFonts w:ascii="Times New Roman" w:eastAsia="Times New Roman" w:hAnsi="Times New Roman" w:cs="Times New Roman"/>
          <w:color w:val="000000"/>
          <w:sz w:val="24"/>
          <w:szCs w:val="24"/>
          <w:lang w:eastAsia="ru-RU"/>
        </w:rPr>
        <w:t>недопущения монополистической деятельности</w:t>
      </w:r>
      <w:r w:rsidR="00557CB4">
        <w:rPr>
          <w:rFonts w:ascii="Times New Roman" w:eastAsia="Times New Roman" w:hAnsi="Times New Roman" w:cs="Times New Roman"/>
          <w:color w:val="000000"/>
          <w:sz w:val="24"/>
          <w:szCs w:val="24"/>
          <w:lang w:eastAsia="ru-RU"/>
        </w:rPr>
        <w:t>.</w:t>
      </w:r>
    </w:p>
    <w:p w:rsidR="0086493C" w:rsidRPr="0086493C" w:rsidRDefault="0086493C" w:rsidP="00557CB4">
      <w:pPr>
        <w:shd w:val="clear" w:color="auto" w:fill="FFFFFF"/>
        <w:spacing w:before="120" w:after="12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2. Цели предлагаемого правового регулирования: </w:t>
      </w:r>
      <w:r w:rsidR="0095153F">
        <w:rPr>
          <w:rFonts w:ascii="Times New Roman" w:eastAsia="Times New Roman" w:hAnsi="Times New Roman" w:cs="Times New Roman"/>
          <w:color w:val="000000"/>
          <w:sz w:val="24"/>
          <w:szCs w:val="24"/>
          <w:lang w:eastAsia="ru-RU"/>
        </w:rPr>
        <w:t>определение рынков товаров и услуг Веневского района для реализации мероприятий по содействию развития конкуренции</w:t>
      </w:r>
      <w:r w:rsidR="00557CB4">
        <w:rPr>
          <w:rFonts w:ascii="Times New Roman" w:eastAsia="Times New Roman" w:hAnsi="Times New Roman" w:cs="Times New Roman"/>
          <w:color w:val="000000"/>
          <w:sz w:val="24"/>
          <w:szCs w:val="24"/>
          <w:lang w:eastAsia="ru-RU"/>
        </w:rPr>
        <w:t xml:space="preserve"> на данных рынках.</w:t>
      </w:r>
    </w:p>
    <w:p w:rsidR="00557CB4" w:rsidRDefault="0086493C" w:rsidP="00557CB4">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 xml:space="preserve">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w:t>
      </w:r>
      <w:r w:rsidR="00557CB4" w:rsidRPr="00557CB4">
        <w:rPr>
          <w:rFonts w:ascii="Times New Roman" w:eastAsia="Times New Roman" w:hAnsi="Times New Roman" w:cs="Times New Roman"/>
          <w:color w:val="000000"/>
          <w:sz w:val="24"/>
          <w:szCs w:val="24"/>
          <w:lang w:eastAsia="ru-RU"/>
        </w:rPr>
        <w:t>Указ Президента Российской Федерации от 21.12.2017 № 618 «Об основных направлениях государственной политики по развитию конкуренции», Стандарт развития конкуренции в субъектах Российской Федерации, утвержденн</w:t>
      </w:r>
      <w:r w:rsidR="00557CB4">
        <w:rPr>
          <w:rFonts w:ascii="Times New Roman" w:eastAsia="Times New Roman" w:hAnsi="Times New Roman" w:cs="Times New Roman"/>
          <w:color w:val="000000"/>
          <w:sz w:val="24"/>
          <w:szCs w:val="24"/>
          <w:lang w:eastAsia="ru-RU"/>
        </w:rPr>
        <w:t>ый</w:t>
      </w:r>
      <w:r w:rsidR="00557CB4" w:rsidRPr="00557CB4">
        <w:rPr>
          <w:rFonts w:ascii="Times New Roman" w:eastAsia="Times New Roman" w:hAnsi="Times New Roman" w:cs="Times New Roman"/>
          <w:color w:val="000000"/>
          <w:sz w:val="24"/>
          <w:szCs w:val="24"/>
          <w:lang w:eastAsia="ru-RU"/>
        </w:rPr>
        <w:t xml:space="preserve"> распоряжением Правительства Российской Федерации от 17.04.2019  № 768-р</w:t>
      </w:r>
      <w:r w:rsidR="00557CB4">
        <w:rPr>
          <w:rFonts w:ascii="Times New Roman" w:eastAsia="Times New Roman" w:hAnsi="Times New Roman" w:cs="Times New Roman"/>
          <w:color w:val="000000"/>
          <w:sz w:val="24"/>
          <w:szCs w:val="24"/>
          <w:lang w:eastAsia="ru-RU"/>
        </w:rPr>
        <w:t>.</w:t>
      </w:r>
    </w:p>
    <w:p w:rsidR="0086493C" w:rsidRPr="0086493C" w:rsidRDefault="0086493C" w:rsidP="00557CB4">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4. Планируемый срок вступления в силу предлагаемого правового регулирования:</w:t>
      </w:r>
    </w:p>
    <w:p w:rsidR="0086493C" w:rsidRPr="0086493C" w:rsidRDefault="00557CB4" w:rsidP="00557CB4">
      <w:pPr>
        <w:shd w:val="clear" w:color="auto" w:fill="FFFFFF"/>
        <w:spacing w:after="0" w:line="240" w:lineRule="auto"/>
        <w:rPr>
          <w:rFonts w:ascii="Times New Roman" w:eastAsia="Times New Roman" w:hAnsi="Times New Roman" w:cs="Times New Roman"/>
          <w:i/>
          <w:color w:val="000000"/>
          <w:sz w:val="20"/>
          <w:szCs w:val="20"/>
          <w:lang w:eastAsia="ru-RU"/>
        </w:rPr>
      </w:pPr>
      <w:r>
        <w:rPr>
          <w:rFonts w:ascii="Times New Roman" w:eastAsia="Times New Roman" w:hAnsi="Times New Roman" w:cs="Times New Roman"/>
          <w:color w:val="000000"/>
          <w:sz w:val="24"/>
          <w:szCs w:val="24"/>
          <w:lang w:eastAsia="ru-RU"/>
        </w:rPr>
        <w:t>2019 год.</w:t>
      </w:r>
    </w:p>
    <w:p w:rsidR="0086493C" w:rsidRPr="0086493C" w:rsidRDefault="0086493C" w:rsidP="00557CB4">
      <w:pPr>
        <w:shd w:val="clear" w:color="auto" w:fill="FFFFFF"/>
        <w:spacing w:before="120" w:after="0" w:line="240" w:lineRule="auto"/>
        <w:ind w:firstLine="709"/>
        <w:jc w:val="both"/>
        <w:rPr>
          <w:rFonts w:ascii="Times New Roman" w:eastAsia="Times New Roman" w:hAnsi="Times New Roman" w:cs="Times New Roman"/>
          <w:i/>
          <w:color w:val="000000"/>
          <w:sz w:val="20"/>
          <w:szCs w:val="20"/>
          <w:lang w:eastAsia="ru-RU"/>
        </w:rPr>
      </w:pPr>
      <w:r w:rsidRPr="0086493C">
        <w:rPr>
          <w:rFonts w:ascii="Times New Roman" w:eastAsia="Times New Roman" w:hAnsi="Times New Roman" w:cs="Times New Roman"/>
          <w:color w:val="000000"/>
          <w:sz w:val="24"/>
          <w:szCs w:val="24"/>
          <w:lang w:eastAsia="ru-RU"/>
        </w:rPr>
        <w:t>5. Сведения о необходимости или отсутствии необходимости установления переходного периода</w:t>
      </w:r>
      <w:r w:rsidR="00557CB4">
        <w:rPr>
          <w:rFonts w:ascii="Times New Roman" w:eastAsia="Times New Roman" w:hAnsi="Times New Roman" w:cs="Times New Roman"/>
          <w:color w:val="000000"/>
          <w:sz w:val="24"/>
          <w:szCs w:val="24"/>
          <w:lang w:eastAsia="ru-RU"/>
        </w:rPr>
        <w:t>: необходимость отсутствует.</w:t>
      </w:r>
    </w:p>
    <w:p w:rsidR="0086493C" w:rsidRPr="0086493C" w:rsidRDefault="0086493C" w:rsidP="0086493C">
      <w:pPr>
        <w:shd w:val="clear" w:color="auto" w:fill="FFFFFF"/>
        <w:spacing w:before="120" w:after="12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 Сравнение возможных вариантов решения проблемы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65"/>
        <w:gridCol w:w="1970"/>
        <w:gridCol w:w="1065"/>
        <w:gridCol w:w="1065"/>
      </w:tblGrid>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color w:val="000000"/>
                <w:sz w:val="24"/>
                <w:szCs w:val="24"/>
                <w:lang w:eastAsia="ru-RU"/>
              </w:rPr>
            </w:pP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center"/>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Вариант 1</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center"/>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Вариант 2</w:t>
            </w: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center"/>
              <w:rPr>
                <w:rFonts w:ascii="Times New Roman" w:eastAsia="Times New Roman" w:hAnsi="Times New Roman" w:cs="Times New Roman"/>
                <w:color w:val="000000"/>
                <w:sz w:val="24"/>
                <w:szCs w:val="24"/>
                <w:lang w:val="en-US" w:eastAsia="ru-RU"/>
              </w:rPr>
            </w:pPr>
            <w:r w:rsidRPr="0086493C">
              <w:rPr>
                <w:rFonts w:ascii="Times New Roman" w:eastAsia="Times New Roman" w:hAnsi="Times New Roman" w:cs="Times New Roman"/>
                <w:color w:val="000000"/>
                <w:sz w:val="24"/>
                <w:szCs w:val="24"/>
                <w:lang w:eastAsia="ru-RU"/>
              </w:rPr>
              <w:t xml:space="preserve">Вариант </w:t>
            </w:r>
            <w:r w:rsidRPr="0086493C">
              <w:rPr>
                <w:rFonts w:ascii="Times New Roman" w:eastAsia="Times New Roman" w:hAnsi="Times New Roman" w:cs="Times New Roman"/>
                <w:color w:val="000000"/>
                <w:sz w:val="24"/>
                <w:szCs w:val="24"/>
                <w:lang w:val="en-US" w:eastAsia="ru-RU"/>
              </w:rPr>
              <w:t>n</w:t>
            </w: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6.1. Содержание варианта решения выявленной проблемы</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Содействие развитию конкуренции на </w:t>
            </w:r>
            <w:r>
              <w:rPr>
                <w:rFonts w:ascii="Times New Roman" w:eastAsia="Times New Roman" w:hAnsi="Times New Roman" w:cs="Times New Roman"/>
                <w:color w:val="000000"/>
                <w:sz w:val="24"/>
                <w:szCs w:val="24"/>
                <w:lang w:eastAsia="ru-RU"/>
              </w:rPr>
              <w:lastRenderedPageBreak/>
              <w:t>обозначенных рынках</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lastRenderedPageBreak/>
              <w:t>6.2.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Дополнительных расходов нет</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6.4. Оценка расходов (доходов) бюджета субъекта Российской Федерации, связанных с введением предлагаемого правового регулирования</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Расходов нет</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6.5. Оценка возможности достижения заявленных целей предлагаемого правового регулирования посредством применения рассматриваемых вариантов предлагаемого правового регулирования</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Достижение установленных целевых показателей по итогам 2022 года</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r w:rsidR="0086493C" w:rsidRPr="0086493C" w:rsidTr="001C4403">
        <w:tc>
          <w:tcPr>
            <w:tcW w:w="3075" w:type="pct"/>
            <w:tcMar>
              <w:top w:w="105" w:type="dxa"/>
              <w:left w:w="105" w:type="dxa"/>
              <w:bottom w:w="105" w:type="dxa"/>
              <w:right w:w="105" w:type="dxa"/>
            </w:tcMar>
            <w:hideMark/>
          </w:tcPr>
          <w:p w:rsidR="0086493C" w:rsidRPr="0086493C" w:rsidRDefault="0086493C" w:rsidP="0086493C">
            <w:pPr>
              <w:spacing w:after="0" w:line="240" w:lineRule="auto"/>
              <w:ind w:firstLine="174"/>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6.6. Оценка рисков неблагоприятных последствий</w:t>
            </w:r>
          </w:p>
        </w:tc>
        <w:tc>
          <w:tcPr>
            <w:tcW w:w="637" w:type="pct"/>
            <w:tcMar>
              <w:top w:w="105" w:type="dxa"/>
              <w:left w:w="105" w:type="dxa"/>
              <w:bottom w:w="105" w:type="dxa"/>
              <w:right w:w="105" w:type="dxa"/>
            </w:tcMar>
            <w:hideMark/>
          </w:tcPr>
          <w:p w:rsidR="0086493C" w:rsidRPr="0086493C" w:rsidRDefault="00557CB4" w:rsidP="0086493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63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c>
          <w:tcPr>
            <w:tcW w:w="651"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sz w:val="24"/>
                <w:szCs w:val="24"/>
                <w:lang w:eastAsia="ru-RU"/>
              </w:rPr>
            </w:pPr>
          </w:p>
        </w:tc>
      </w:tr>
    </w:tbl>
    <w:p w:rsidR="0086493C" w:rsidRPr="0086493C" w:rsidRDefault="0086493C" w:rsidP="00557CB4">
      <w:pPr>
        <w:shd w:val="clear" w:color="auto" w:fill="FFFFFF"/>
        <w:spacing w:before="120" w:after="0" w:line="240" w:lineRule="auto"/>
        <w:ind w:firstLine="709"/>
        <w:jc w:val="both"/>
        <w:rPr>
          <w:rFonts w:ascii="Times New Roman" w:eastAsia="Times New Roman" w:hAnsi="Times New Roman" w:cs="Times New Roman"/>
          <w:i/>
          <w:color w:val="000000"/>
          <w:sz w:val="20"/>
          <w:szCs w:val="20"/>
          <w:lang w:eastAsia="ru-RU"/>
        </w:rPr>
      </w:pPr>
      <w:r w:rsidRPr="0086493C">
        <w:rPr>
          <w:rFonts w:ascii="Times New Roman" w:eastAsia="Times New Roman" w:hAnsi="Times New Roman" w:cs="Times New Roman"/>
          <w:color w:val="000000"/>
          <w:sz w:val="24"/>
          <w:szCs w:val="24"/>
          <w:lang w:eastAsia="ru-RU"/>
        </w:rPr>
        <w:t>6.7. Обоснование выбора предпочтительного варианта предлагаемого правового регулирования выявленной проблемы</w:t>
      </w:r>
      <w:r w:rsidR="00557CB4">
        <w:rPr>
          <w:rFonts w:ascii="Times New Roman" w:eastAsia="Times New Roman" w:hAnsi="Times New Roman" w:cs="Times New Roman"/>
          <w:color w:val="000000"/>
          <w:sz w:val="24"/>
          <w:szCs w:val="24"/>
          <w:lang w:eastAsia="ru-RU"/>
        </w:rPr>
        <w:t>:</w:t>
      </w:r>
      <w:r w:rsidR="00F51140">
        <w:rPr>
          <w:rFonts w:ascii="Times New Roman" w:eastAsia="Times New Roman" w:hAnsi="Times New Roman" w:cs="Times New Roman"/>
          <w:color w:val="000000"/>
          <w:sz w:val="24"/>
          <w:szCs w:val="24"/>
          <w:lang w:eastAsia="ru-RU"/>
        </w:rPr>
        <w:t xml:space="preserve"> обосновано целевыми показателями.</w:t>
      </w:r>
    </w:p>
    <w:p w:rsidR="0086493C" w:rsidRPr="0086493C" w:rsidRDefault="0086493C" w:rsidP="0086493C">
      <w:pPr>
        <w:shd w:val="clear" w:color="auto" w:fill="FFFFFF"/>
        <w:spacing w:before="120" w:after="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7. Иная информация по решению органа-разработчика, относящаяся к сведениям о подготовке идеи (концепции) предлагаемого правового регулирования:</w:t>
      </w:r>
      <w:r w:rsidR="00F51140">
        <w:rPr>
          <w:rFonts w:ascii="Times New Roman" w:eastAsia="Times New Roman" w:hAnsi="Times New Roman" w:cs="Times New Roman"/>
          <w:color w:val="000000"/>
          <w:sz w:val="24"/>
          <w:szCs w:val="24"/>
          <w:lang w:eastAsia="ru-RU"/>
        </w:rPr>
        <w:t xml:space="preserve"> нет.</w:t>
      </w:r>
    </w:p>
    <w:p w:rsidR="0086493C" w:rsidRPr="0086493C" w:rsidRDefault="0086493C" w:rsidP="0086493C">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_____________________________________________________________________________</w:t>
      </w:r>
    </w:p>
    <w:p w:rsidR="0086493C" w:rsidRPr="0086493C" w:rsidRDefault="0086493C" w:rsidP="0086493C">
      <w:pPr>
        <w:shd w:val="clear" w:color="auto" w:fill="FFFFFF"/>
        <w:spacing w:before="120" w:after="120" w:line="240" w:lineRule="auto"/>
        <w:ind w:firstLine="709"/>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К уведомлению прилагаются:</w:t>
      </w:r>
    </w:p>
    <w:tbl>
      <w:tblPr>
        <w:tblW w:w="5000" w:type="pct"/>
        <w:tblCellMar>
          <w:left w:w="0" w:type="dxa"/>
          <w:right w:w="0" w:type="dxa"/>
        </w:tblCellMar>
        <w:tblLook w:val="04A0" w:firstRow="1" w:lastRow="0" w:firstColumn="1" w:lastColumn="0" w:noHBand="0" w:noVBand="1"/>
      </w:tblPr>
      <w:tblGrid>
        <w:gridCol w:w="390"/>
        <w:gridCol w:w="9175"/>
      </w:tblGrid>
      <w:tr w:rsidR="0086493C" w:rsidRPr="0086493C" w:rsidTr="001C4403">
        <w:tc>
          <w:tcPr>
            <w:tcW w:w="17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1.</w:t>
            </w:r>
          </w:p>
        </w:tc>
        <w:tc>
          <w:tcPr>
            <w:tcW w:w="4823"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Перечень вопросов для участников публичных консультаций</w:t>
            </w:r>
          </w:p>
        </w:tc>
      </w:tr>
      <w:tr w:rsidR="0086493C" w:rsidRPr="0086493C" w:rsidTr="001C4403">
        <w:tc>
          <w:tcPr>
            <w:tcW w:w="177"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2.</w:t>
            </w:r>
          </w:p>
        </w:tc>
        <w:tc>
          <w:tcPr>
            <w:tcW w:w="4823" w:type="pct"/>
            <w:tcMar>
              <w:top w:w="105" w:type="dxa"/>
              <w:left w:w="105" w:type="dxa"/>
              <w:bottom w:w="105" w:type="dxa"/>
              <w:right w:w="105" w:type="dxa"/>
            </w:tcMar>
            <w:hideMark/>
          </w:tcPr>
          <w:p w:rsidR="0086493C" w:rsidRPr="0086493C" w:rsidRDefault="0086493C" w:rsidP="0086493C">
            <w:pPr>
              <w:spacing w:after="0" w:line="240" w:lineRule="auto"/>
              <w:jc w:val="both"/>
              <w:rPr>
                <w:rFonts w:ascii="Times New Roman" w:eastAsia="Times New Roman" w:hAnsi="Times New Roman" w:cs="Times New Roman"/>
                <w:color w:val="000000"/>
                <w:sz w:val="24"/>
                <w:szCs w:val="24"/>
                <w:lang w:eastAsia="ru-RU"/>
              </w:rPr>
            </w:pPr>
            <w:r w:rsidRPr="0086493C">
              <w:rPr>
                <w:rFonts w:ascii="Times New Roman" w:eastAsia="Times New Roman" w:hAnsi="Times New Roman" w:cs="Times New Roman"/>
                <w:color w:val="000000"/>
                <w:sz w:val="24"/>
                <w:szCs w:val="24"/>
                <w:lang w:eastAsia="ru-RU"/>
              </w:rPr>
              <w:t>Проект муниципального нормативного правового акта</w:t>
            </w:r>
          </w:p>
        </w:tc>
      </w:tr>
    </w:tbl>
    <w:p w:rsidR="0011071A" w:rsidRDefault="0011071A" w:rsidP="00F51140">
      <w:pPr>
        <w:spacing w:after="0" w:line="240" w:lineRule="auto"/>
        <w:jc w:val="center"/>
        <w:rPr>
          <w:rFonts w:ascii="Times New Roman" w:eastAsia="Times New Roman" w:hAnsi="Times New Roman" w:cs="Times New Roman"/>
          <w:sz w:val="28"/>
          <w:szCs w:val="28"/>
          <w:lang w:eastAsia="ru-RU"/>
        </w:rPr>
      </w:pPr>
    </w:p>
    <w:p w:rsidR="0011071A" w:rsidRDefault="0011071A" w:rsidP="00F51140">
      <w:pPr>
        <w:spacing w:after="0" w:line="240" w:lineRule="auto"/>
        <w:jc w:val="center"/>
        <w:rPr>
          <w:rFonts w:ascii="Times New Roman" w:eastAsia="Times New Roman" w:hAnsi="Times New Roman" w:cs="Times New Roman"/>
          <w:sz w:val="28"/>
          <w:szCs w:val="28"/>
          <w:lang w:eastAsia="ru-RU"/>
        </w:rPr>
      </w:pPr>
    </w:p>
    <w:p w:rsidR="0011071A" w:rsidRDefault="0011071A" w:rsidP="00F51140">
      <w:pPr>
        <w:spacing w:after="0" w:line="240" w:lineRule="auto"/>
        <w:jc w:val="center"/>
        <w:rPr>
          <w:rFonts w:ascii="Times New Roman" w:eastAsia="Times New Roman" w:hAnsi="Times New Roman" w:cs="Times New Roman"/>
          <w:sz w:val="28"/>
          <w:szCs w:val="28"/>
          <w:lang w:eastAsia="ru-RU"/>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1843"/>
        <w:gridCol w:w="1949"/>
      </w:tblGrid>
      <w:tr w:rsidR="0011071A" w:rsidRPr="00DA0D78" w:rsidTr="001C4403">
        <w:trPr>
          <w:jc w:val="center"/>
        </w:trPr>
        <w:tc>
          <w:tcPr>
            <w:tcW w:w="5778" w:type="dxa"/>
          </w:tcPr>
          <w:p w:rsidR="0011071A" w:rsidRPr="00DA0D78" w:rsidRDefault="0011071A" w:rsidP="001C4403">
            <w:pPr>
              <w:spacing w:line="276" w:lineRule="auto"/>
              <w:jc w:val="center"/>
              <w:rPr>
                <w:rFonts w:ascii="Times New Roman" w:eastAsia="Calibri" w:hAnsi="Times New Roman" w:cs="Times New Roman"/>
                <w:sz w:val="26"/>
                <w:szCs w:val="26"/>
              </w:rPr>
            </w:pPr>
            <w:r w:rsidRPr="00DA0D78">
              <w:rPr>
                <w:rFonts w:ascii="Times New Roman" w:eastAsia="Calibri" w:hAnsi="Times New Roman" w:cs="Times New Roman"/>
                <w:b/>
                <w:sz w:val="26"/>
                <w:szCs w:val="26"/>
              </w:rPr>
              <w:t xml:space="preserve">Заместитель председателя комитета по экономике, инвестициям и развитию АПК АМО Веневский район </w:t>
            </w:r>
          </w:p>
        </w:tc>
        <w:tc>
          <w:tcPr>
            <w:tcW w:w="1843" w:type="dxa"/>
          </w:tcPr>
          <w:p w:rsidR="0011071A" w:rsidRPr="00DA0D78" w:rsidRDefault="0011071A" w:rsidP="001C4403">
            <w:pPr>
              <w:jc w:val="both"/>
              <w:rPr>
                <w:rFonts w:ascii="Times New Roman" w:eastAsia="Calibri" w:hAnsi="Times New Roman" w:cs="Times New Roman"/>
                <w:sz w:val="26"/>
                <w:szCs w:val="26"/>
              </w:rPr>
            </w:pPr>
          </w:p>
        </w:tc>
        <w:tc>
          <w:tcPr>
            <w:tcW w:w="1949" w:type="dxa"/>
          </w:tcPr>
          <w:p w:rsidR="0011071A" w:rsidRPr="00DA0D78" w:rsidRDefault="0011071A" w:rsidP="001C4403">
            <w:pPr>
              <w:jc w:val="both"/>
              <w:rPr>
                <w:rFonts w:ascii="Times New Roman" w:eastAsia="Calibri" w:hAnsi="Times New Roman" w:cs="Times New Roman"/>
                <w:sz w:val="26"/>
                <w:szCs w:val="26"/>
              </w:rPr>
            </w:pPr>
          </w:p>
          <w:p w:rsidR="0011071A" w:rsidRPr="00DA0D78" w:rsidRDefault="0011071A" w:rsidP="001C4403">
            <w:pPr>
              <w:jc w:val="both"/>
              <w:rPr>
                <w:rFonts w:ascii="Times New Roman" w:eastAsia="Calibri" w:hAnsi="Times New Roman" w:cs="Times New Roman"/>
                <w:sz w:val="26"/>
                <w:szCs w:val="26"/>
              </w:rPr>
            </w:pPr>
          </w:p>
          <w:p w:rsidR="0011071A" w:rsidRPr="00DA0D78" w:rsidRDefault="0011071A" w:rsidP="001C4403">
            <w:pPr>
              <w:jc w:val="right"/>
              <w:rPr>
                <w:rFonts w:ascii="Times New Roman" w:eastAsia="Calibri" w:hAnsi="Times New Roman" w:cs="Times New Roman"/>
                <w:b/>
                <w:sz w:val="26"/>
                <w:szCs w:val="26"/>
              </w:rPr>
            </w:pPr>
            <w:r w:rsidRPr="00DA0D78">
              <w:rPr>
                <w:rFonts w:ascii="Times New Roman" w:eastAsia="Calibri" w:hAnsi="Times New Roman" w:cs="Times New Roman"/>
                <w:b/>
                <w:sz w:val="26"/>
                <w:szCs w:val="26"/>
              </w:rPr>
              <w:t>Кузина С.В.</w:t>
            </w:r>
          </w:p>
        </w:tc>
      </w:tr>
    </w:tbl>
    <w:p w:rsidR="00F51140" w:rsidRDefault="0086493C" w:rsidP="00F51140">
      <w:pPr>
        <w:spacing w:after="0" w:line="240" w:lineRule="auto"/>
        <w:jc w:val="center"/>
        <w:rPr>
          <w:rFonts w:ascii="Times New Roman" w:eastAsia="Times New Roman" w:hAnsi="Times New Roman" w:cs="Times New Roman"/>
          <w:sz w:val="28"/>
          <w:szCs w:val="28"/>
          <w:lang w:eastAsia="ru-RU"/>
        </w:rPr>
      </w:pPr>
      <w:r w:rsidRPr="0086493C">
        <w:rPr>
          <w:rFonts w:ascii="Times New Roman" w:eastAsia="Times New Roman" w:hAnsi="Times New Roman" w:cs="Times New Roman"/>
          <w:sz w:val="28"/>
          <w:szCs w:val="28"/>
          <w:lang w:eastAsia="ru-RU"/>
        </w:rPr>
        <w:br w:type="page"/>
      </w: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lastRenderedPageBreak/>
        <w:t>Приложение 1 к уведомлению</w:t>
      </w:r>
      <w:r w:rsidRPr="00F51140">
        <w:rPr>
          <w:sz w:val="24"/>
          <w:szCs w:val="24"/>
        </w:rPr>
        <w:t xml:space="preserve"> </w:t>
      </w:r>
      <w:r w:rsidRPr="00F51140">
        <w:rPr>
          <w:rFonts w:ascii="Times New Roman" w:eastAsia="Times New Roman" w:hAnsi="Times New Roman" w:cs="Times New Roman"/>
          <w:sz w:val="24"/>
          <w:szCs w:val="24"/>
          <w:lang w:eastAsia="ru-RU"/>
        </w:rPr>
        <w:t>о проведении</w:t>
      </w: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t xml:space="preserve"> публичных консультаций в рамках процедуры</w:t>
      </w: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t xml:space="preserve"> оценки</w:t>
      </w:r>
      <w:r w:rsidRPr="00F51140">
        <w:rPr>
          <w:rFonts w:ascii="Times New Roman" w:eastAsia="Times New Roman" w:hAnsi="Times New Roman" w:cs="Times New Roman"/>
          <w:sz w:val="24"/>
          <w:szCs w:val="24"/>
          <w:lang w:eastAsia="ru-RU"/>
        </w:rPr>
        <w:t xml:space="preserve"> </w:t>
      </w:r>
      <w:r w:rsidRPr="00F51140">
        <w:rPr>
          <w:rFonts w:ascii="Times New Roman" w:eastAsia="Times New Roman" w:hAnsi="Times New Roman" w:cs="Times New Roman"/>
          <w:sz w:val="24"/>
          <w:szCs w:val="24"/>
          <w:lang w:eastAsia="ru-RU"/>
        </w:rPr>
        <w:t>регулирующего воздействия</w:t>
      </w:r>
    </w:p>
    <w:p w:rsidR="00F51140" w:rsidRDefault="00F51140" w:rsidP="00F51140">
      <w:pPr>
        <w:spacing w:after="0" w:line="240" w:lineRule="auto"/>
        <w:jc w:val="center"/>
        <w:rPr>
          <w:rFonts w:ascii="Times New Roman" w:eastAsia="Times New Roman" w:hAnsi="Times New Roman" w:cs="Times New Roman"/>
          <w:sz w:val="28"/>
          <w:szCs w:val="28"/>
          <w:lang w:eastAsia="ru-RU"/>
        </w:rPr>
      </w:pPr>
    </w:p>
    <w:p w:rsidR="00F51140" w:rsidRDefault="00F51140" w:rsidP="00F51140">
      <w:pPr>
        <w:spacing w:after="0" w:line="240" w:lineRule="auto"/>
        <w:jc w:val="center"/>
        <w:rPr>
          <w:rFonts w:ascii="Times New Roman" w:eastAsia="Times New Roman" w:hAnsi="Times New Roman" w:cs="Times New Roman"/>
          <w:sz w:val="28"/>
          <w:szCs w:val="28"/>
          <w:lang w:eastAsia="ru-RU"/>
        </w:rPr>
      </w:pPr>
    </w:p>
    <w:p w:rsidR="00332B85" w:rsidRPr="00F51140" w:rsidRDefault="00F51140" w:rsidP="00F51140">
      <w:pPr>
        <w:spacing w:after="0" w:line="240" w:lineRule="auto"/>
        <w:jc w:val="center"/>
        <w:rPr>
          <w:rFonts w:ascii="Times New Roman" w:eastAsia="Times New Roman" w:hAnsi="Times New Roman" w:cs="Times New Roman"/>
          <w:color w:val="000000"/>
          <w:sz w:val="28"/>
          <w:szCs w:val="28"/>
          <w:lang w:eastAsia="ru-RU"/>
        </w:rPr>
      </w:pPr>
      <w:r w:rsidRPr="0086493C">
        <w:rPr>
          <w:rFonts w:ascii="Times New Roman" w:eastAsia="Times New Roman" w:hAnsi="Times New Roman" w:cs="Times New Roman"/>
          <w:color w:val="000000"/>
          <w:sz w:val="28"/>
          <w:szCs w:val="28"/>
          <w:lang w:eastAsia="ru-RU"/>
        </w:rPr>
        <w:t>Перечень вопросов для участников публичных консультаций</w:t>
      </w:r>
    </w:p>
    <w:p w:rsidR="00F51140" w:rsidRPr="00F51140" w:rsidRDefault="00F51140" w:rsidP="00F51140">
      <w:pPr>
        <w:spacing w:after="0" w:line="240" w:lineRule="auto"/>
        <w:jc w:val="center"/>
        <w:rPr>
          <w:rFonts w:ascii="Times New Roman" w:eastAsia="Times New Roman" w:hAnsi="Times New Roman" w:cs="Times New Roman"/>
          <w:color w:val="000000"/>
          <w:sz w:val="28"/>
          <w:szCs w:val="28"/>
          <w:lang w:eastAsia="ru-RU"/>
        </w:rPr>
      </w:pPr>
    </w:p>
    <w:p w:rsidR="00F51140" w:rsidRPr="00F51140" w:rsidRDefault="00F51140" w:rsidP="00F51140">
      <w:pPr>
        <w:spacing w:after="0" w:line="240" w:lineRule="auto"/>
        <w:jc w:val="center"/>
        <w:rPr>
          <w:rFonts w:ascii="Times New Roman" w:eastAsia="Times New Roman" w:hAnsi="Times New Roman" w:cs="Times New Roman"/>
          <w:color w:val="000000"/>
          <w:sz w:val="28"/>
          <w:szCs w:val="28"/>
          <w:lang w:eastAsia="ru-RU"/>
        </w:rPr>
      </w:pPr>
    </w:p>
    <w:p w:rsidR="00F51140" w:rsidRPr="00F51140" w:rsidRDefault="00F51140" w:rsidP="00F51140">
      <w:pPr>
        <w:pStyle w:val="a4"/>
        <w:numPr>
          <w:ilvl w:val="0"/>
          <w:numId w:val="1"/>
        </w:numPr>
        <w:spacing w:after="0" w:line="240" w:lineRule="auto"/>
        <w:jc w:val="both"/>
        <w:rPr>
          <w:rFonts w:ascii="Times New Roman" w:hAnsi="Times New Roman" w:cs="Times New Roman"/>
          <w:sz w:val="28"/>
          <w:szCs w:val="28"/>
        </w:rPr>
      </w:pPr>
      <w:r w:rsidRPr="00F51140">
        <w:rPr>
          <w:rFonts w:ascii="Times New Roman" w:hAnsi="Times New Roman" w:cs="Times New Roman"/>
          <w:sz w:val="28"/>
          <w:szCs w:val="28"/>
        </w:rPr>
        <w:t>Ф</w:t>
      </w:r>
      <w:r w:rsidRPr="00F51140">
        <w:rPr>
          <w:rFonts w:ascii="Times New Roman" w:hAnsi="Times New Roman" w:cs="Times New Roman"/>
          <w:sz w:val="28"/>
          <w:szCs w:val="28"/>
        </w:rPr>
        <w:t>ормировани</w:t>
      </w:r>
      <w:r w:rsidRPr="00F51140">
        <w:rPr>
          <w:rFonts w:ascii="Times New Roman" w:hAnsi="Times New Roman" w:cs="Times New Roman"/>
          <w:sz w:val="28"/>
          <w:szCs w:val="28"/>
        </w:rPr>
        <w:t>е</w:t>
      </w:r>
      <w:r w:rsidRPr="00F51140">
        <w:rPr>
          <w:rFonts w:ascii="Times New Roman" w:hAnsi="Times New Roman" w:cs="Times New Roman"/>
          <w:sz w:val="28"/>
          <w:szCs w:val="28"/>
        </w:rPr>
        <w:t xml:space="preserve"> перечня приоритетных и</w:t>
      </w:r>
      <w:r w:rsidRPr="00F51140">
        <w:rPr>
          <w:rFonts w:ascii="Times New Roman" w:hAnsi="Times New Roman" w:cs="Times New Roman"/>
          <w:sz w:val="28"/>
          <w:szCs w:val="28"/>
        </w:rPr>
        <w:t xml:space="preserve"> </w:t>
      </w:r>
      <w:r w:rsidRPr="00F51140">
        <w:rPr>
          <w:rFonts w:ascii="Times New Roman" w:hAnsi="Times New Roman" w:cs="Times New Roman"/>
          <w:sz w:val="28"/>
          <w:szCs w:val="28"/>
        </w:rPr>
        <w:t>социально значимых рынков для развития конкуренции в</w:t>
      </w:r>
      <w:r w:rsidRPr="00F51140">
        <w:rPr>
          <w:rFonts w:ascii="Times New Roman" w:hAnsi="Times New Roman" w:cs="Times New Roman"/>
          <w:sz w:val="28"/>
          <w:szCs w:val="28"/>
        </w:rPr>
        <w:t xml:space="preserve"> Веневском районе;</w:t>
      </w:r>
    </w:p>
    <w:p w:rsidR="00F51140" w:rsidRDefault="00F51140" w:rsidP="00F51140">
      <w:pPr>
        <w:pStyle w:val="a4"/>
        <w:numPr>
          <w:ilvl w:val="0"/>
          <w:numId w:val="1"/>
        </w:numPr>
        <w:spacing w:after="0" w:line="240" w:lineRule="auto"/>
        <w:jc w:val="both"/>
        <w:rPr>
          <w:rFonts w:ascii="Times New Roman" w:hAnsi="Times New Roman" w:cs="Times New Roman"/>
          <w:sz w:val="28"/>
          <w:szCs w:val="28"/>
        </w:rPr>
      </w:pPr>
      <w:r w:rsidRPr="00F51140">
        <w:rPr>
          <w:rFonts w:ascii="Times New Roman" w:hAnsi="Times New Roman" w:cs="Times New Roman"/>
          <w:sz w:val="28"/>
          <w:szCs w:val="28"/>
        </w:rPr>
        <w:t>О</w:t>
      </w:r>
      <w:r w:rsidRPr="00F51140">
        <w:rPr>
          <w:rFonts w:ascii="Times New Roman" w:hAnsi="Times New Roman" w:cs="Times New Roman"/>
          <w:sz w:val="28"/>
          <w:szCs w:val="28"/>
        </w:rPr>
        <w:t>пределени</w:t>
      </w:r>
      <w:r w:rsidRPr="00F51140">
        <w:rPr>
          <w:rFonts w:ascii="Times New Roman" w:hAnsi="Times New Roman" w:cs="Times New Roman"/>
          <w:sz w:val="28"/>
          <w:szCs w:val="28"/>
        </w:rPr>
        <w:t>е</w:t>
      </w:r>
      <w:r w:rsidRPr="00F51140">
        <w:rPr>
          <w:rFonts w:ascii="Times New Roman" w:hAnsi="Times New Roman" w:cs="Times New Roman"/>
          <w:sz w:val="28"/>
          <w:szCs w:val="28"/>
        </w:rPr>
        <w:t xml:space="preserve"> целевых показателей развития</w:t>
      </w:r>
      <w:r w:rsidRPr="00F51140">
        <w:rPr>
          <w:rFonts w:ascii="Times New Roman" w:hAnsi="Times New Roman" w:cs="Times New Roman"/>
          <w:sz w:val="28"/>
          <w:szCs w:val="28"/>
        </w:rPr>
        <w:t xml:space="preserve"> </w:t>
      </w:r>
      <w:r w:rsidRPr="00F51140">
        <w:rPr>
          <w:rFonts w:ascii="Times New Roman" w:hAnsi="Times New Roman" w:cs="Times New Roman"/>
          <w:sz w:val="28"/>
          <w:szCs w:val="28"/>
        </w:rPr>
        <w:t xml:space="preserve">конкуренции на </w:t>
      </w:r>
      <w:r w:rsidRPr="00F51140">
        <w:rPr>
          <w:rFonts w:ascii="Times New Roman" w:hAnsi="Times New Roman" w:cs="Times New Roman"/>
          <w:sz w:val="28"/>
          <w:szCs w:val="28"/>
        </w:rPr>
        <w:t>конкурентных</w:t>
      </w:r>
      <w:r w:rsidRPr="00F51140">
        <w:rPr>
          <w:rFonts w:ascii="Times New Roman" w:hAnsi="Times New Roman" w:cs="Times New Roman"/>
          <w:sz w:val="28"/>
          <w:szCs w:val="28"/>
        </w:rPr>
        <w:t xml:space="preserve"> рынках</w:t>
      </w:r>
      <w:r w:rsidRPr="00F51140">
        <w:rPr>
          <w:rFonts w:ascii="Times New Roman" w:hAnsi="Times New Roman" w:cs="Times New Roman"/>
          <w:sz w:val="28"/>
          <w:szCs w:val="28"/>
        </w:rPr>
        <w:t>.</w:t>
      </w: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lastRenderedPageBreak/>
        <w:t xml:space="preserve">Приложение </w:t>
      </w:r>
      <w:r>
        <w:rPr>
          <w:rFonts w:ascii="Times New Roman" w:eastAsia="Times New Roman" w:hAnsi="Times New Roman" w:cs="Times New Roman"/>
          <w:sz w:val="24"/>
          <w:szCs w:val="24"/>
          <w:lang w:eastAsia="ru-RU"/>
        </w:rPr>
        <w:t>2</w:t>
      </w:r>
      <w:r w:rsidRPr="00F51140">
        <w:rPr>
          <w:rFonts w:ascii="Times New Roman" w:eastAsia="Times New Roman" w:hAnsi="Times New Roman" w:cs="Times New Roman"/>
          <w:sz w:val="24"/>
          <w:szCs w:val="24"/>
          <w:lang w:eastAsia="ru-RU"/>
        </w:rPr>
        <w:t xml:space="preserve"> к уведомлению</w:t>
      </w:r>
      <w:r w:rsidRPr="00F51140">
        <w:rPr>
          <w:sz w:val="24"/>
          <w:szCs w:val="24"/>
        </w:rPr>
        <w:t xml:space="preserve"> </w:t>
      </w:r>
      <w:r w:rsidRPr="00F51140">
        <w:rPr>
          <w:rFonts w:ascii="Times New Roman" w:eastAsia="Times New Roman" w:hAnsi="Times New Roman" w:cs="Times New Roman"/>
          <w:sz w:val="24"/>
          <w:szCs w:val="24"/>
          <w:lang w:eastAsia="ru-RU"/>
        </w:rPr>
        <w:t>о проведении</w:t>
      </w: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t xml:space="preserve"> публичных консультаций в рамках процедуры</w:t>
      </w:r>
    </w:p>
    <w:p w:rsidR="00F51140" w:rsidRPr="00F51140" w:rsidRDefault="00F51140" w:rsidP="00F51140">
      <w:pPr>
        <w:spacing w:after="0" w:line="240" w:lineRule="auto"/>
        <w:jc w:val="right"/>
        <w:rPr>
          <w:rFonts w:ascii="Times New Roman" w:eastAsia="Times New Roman" w:hAnsi="Times New Roman" w:cs="Times New Roman"/>
          <w:sz w:val="24"/>
          <w:szCs w:val="24"/>
          <w:lang w:eastAsia="ru-RU"/>
        </w:rPr>
      </w:pPr>
      <w:r w:rsidRPr="00F51140">
        <w:rPr>
          <w:rFonts w:ascii="Times New Roman" w:eastAsia="Times New Roman" w:hAnsi="Times New Roman" w:cs="Times New Roman"/>
          <w:sz w:val="24"/>
          <w:szCs w:val="24"/>
          <w:lang w:eastAsia="ru-RU"/>
        </w:rPr>
        <w:t xml:space="preserve"> оценки регулирующего воздействия</w:t>
      </w:r>
    </w:p>
    <w:p w:rsidR="00F51140" w:rsidRPr="00F51140" w:rsidRDefault="00F51140" w:rsidP="00F51140">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F51140">
        <w:rPr>
          <w:rFonts w:ascii="Times New Roman" w:eastAsia="Times New Roman" w:hAnsi="Times New Roman" w:cs="Times New Roman"/>
          <w:b/>
          <w:sz w:val="28"/>
          <w:szCs w:val="28"/>
          <w:lang w:eastAsia="ru-RU"/>
        </w:rPr>
        <w:t>ПРОЕКТ</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p>
    <w:tbl>
      <w:tblPr>
        <w:tblpPr w:leftFromText="180" w:rightFromText="180" w:vertAnchor="page" w:horzAnchor="margin" w:tblpY="2386"/>
        <w:tblW w:w="0" w:type="auto"/>
        <w:tblLook w:val="00A0" w:firstRow="1" w:lastRow="0" w:firstColumn="1" w:lastColumn="0" w:noHBand="0" w:noVBand="0"/>
      </w:tblPr>
      <w:tblGrid>
        <w:gridCol w:w="4785"/>
        <w:gridCol w:w="4785"/>
      </w:tblGrid>
      <w:tr w:rsidR="00F51140" w:rsidRPr="00F51140" w:rsidTr="001C4403">
        <w:tc>
          <w:tcPr>
            <w:tcW w:w="9570" w:type="dxa"/>
            <w:gridSpan w:val="2"/>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 xml:space="preserve">  Тульская область</w:t>
            </w:r>
          </w:p>
        </w:tc>
      </w:tr>
      <w:tr w:rsidR="00F51140" w:rsidRPr="00F51140" w:rsidTr="001C4403">
        <w:tc>
          <w:tcPr>
            <w:tcW w:w="9570" w:type="dxa"/>
            <w:gridSpan w:val="2"/>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Муниципальное образование Веневский район</w:t>
            </w:r>
          </w:p>
        </w:tc>
      </w:tr>
      <w:tr w:rsidR="00F51140" w:rsidRPr="00F51140" w:rsidTr="001C4403">
        <w:tc>
          <w:tcPr>
            <w:tcW w:w="9570" w:type="dxa"/>
            <w:gridSpan w:val="2"/>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Администрация</w:t>
            </w:r>
          </w:p>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F51140" w:rsidRPr="00F51140" w:rsidTr="001C4403">
        <w:tc>
          <w:tcPr>
            <w:tcW w:w="9570" w:type="dxa"/>
            <w:gridSpan w:val="2"/>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ПОСТАНОВЛЕНИЕ</w:t>
            </w:r>
          </w:p>
        </w:tc>
      </w:tr>
      <w:tr w:rsidR="00F51140" w:rsidRPr="00F51140" w:rsidTr="001C4403">
        <w:tc>
          <w:tcPr>
            <w:tcW w:w="9570" w:type="dxa"/>
            <w:gridSpan w:val="2"/>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tc>
      </w:tr>
      <w:tr w:rsidR="00F51140" w:rsidRPr="00F51140" w:rsidTr="001C4403">
        <w:tc>
          <w:tcPr>
            <w:tcW w:w="4785" w:type="dxa"/>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от ____________</w:t>
            </w:r>
          </w:p>
        </w:tc>
        <w:tc>
          <w:tcPr>
            <w:tcW w:w="4785" w:type="dxa"/>
            <w:vAlign w:val="center"/>
          </w:tcPr>
          <w:p w:rsidR="00F51140" w:rsidRPr="00F51140" w:rsidRDefault="00F51140" w:rsidP="00F51140">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F51140">
              <w:rPr>
                <w:rFonts w:ascii="Times New Roman" w:eastAsia="Times New Roman" w:hAnsi="Times New Roman" w:cs="Times New Roman"/>
                <w:b/>
                <w:bCs/>
                <w:sz w:val="28"/>
                <w:szCs w:val="28"/>
                <w:lang w:eastAsia="ru-RU"/>
              </w:rPr>
              <w:t>№ __________</w:t>
            </w:r>
          </w:p>
        </w:tc>
      </w:tr>
    </w:tbl>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r w:rsidRPr="00F51140">
        <w:rPr>
          <w:rFonts w:ascii="Times New Roman" w:eastAsia="Calibri" w:hAnsi="Times New Roman" w:cs="Times New Roman"/>
          <w:b/>
          <w:color w:val="000000"/>
          <w:sz w:val="28"/>
          <w:szCs w:val="28"/>
        </w:rPr>
        <w:t xml:space="preserve">Об утверждении Перечня товарных рынков </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r w:rsidRPr="00F51140">
        <w:rPr>
          <w:rFonts w:ascii="Times New Roman" w:eastAsia="Calibri" w:hAnsi="Times New Roman" w:cs="Times New Roman"/>
          <w:b/>
          <w:color w:val="000000"/>
          <w:sz w:val="28"/>
          <w:szCs w:val="28"/>
        </w:rPr>
        <w:t>по содействию развитию конкуренции</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r w:rsidRPr="00F51140">
        <w:rPr>
          <w:rFonts w:ascii="Times New Roman" w:eastAsia="Calibri" w:hAnsi="Times New Roman" w:cs="Times New Roman"/>
          <w:b/>
          <w:color w:val="000000"/>
          <w:sz w:val="28"/>
          <w:szCs w:val="28"/>
        </w:rPr>
        <w:t>в муниципальном образовании Веневский район</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p>
    <w:p w:rsidR="00F51140" w:rsidRPr="00F51140" w:rsidRDefault="00F51140" w:rsidP="00F51140">
      <w:pPr>
        <w:autoSpaceDE w:val="0"/>
        <w:autoSpaceDN w:val="0"/>
        <w:adjustRightInd w:val="0"/>
        <w:spacing w:after="0"/>
        <w:ind w:firstLine="709"/>
        <w:jc w:val="both"/>
        <w:rPr>
          <w:rFonts w:ascii="Times New Roman" w:eastAsia="Calibri" w:hAnsi="Times New Roman" w:cs="Times New Roman"/>
          <w:color w:val="000000"/>
          <w:sz w:val="28"/>
          <w:szCs w:val="28"/>
        </w:rPr>
      </w:pPr>
      <w:proofErr w:type="gramStart"/>
      <w:r w:rsidRPr="00F51140">
        <w:rPr>
          <w:rFonts w:ascii="Times New Roman" w:eastAsia="Calibri" w:hAnsi="Times New Roman" w:cs="Times New Roman"/>
          <w:color w:val="000000"/>
          <w:sz w:val="28"/>
          <w:szCs w:val="28"/>
        </w:rPr>
        <w:t>Во исполнение Указа Президента Российской Федерации от 21.12.2017 № 618 «Об основных направлениях государственной политики по развитию конкуренции», положений Стандарта развития конкуренции в субъектах Российской Федерации, утвержденного распоряжением Правительства Российской Федерации от 17.04.2019  № 768-р, в целях создания условий для развития конкуренции на рынках товаров, работ, услуг в муниципальном образовании Веневский район, на основании Устава муниципального образования Веневский район:</w:t>
      </w:r>
      <w:proofErr w:type="gramEnd"/>
    </w:p>
    <w:p w:rsidR="00F51140" w:rsidRPr="00F51140" w:rsidRDefault="00F51140" w:rsidP="00F51140">
      <w:pPr>
        <w:autoSpaceDE w:val="0"/>
        <w:autoSpaceDN w:val="0"/>
        <w:adjustRightInd w:val="0"/>
        <w:spacing w:after="0"/>
        <w:ind w:firstLine="709"/>
        <w:jc w:val="both"/>
        <w:rPr>
          <w:rFonts w:ascii="Times New Roman" w:eastAsia="Calibri" w:hAnsi="Times New Roman" w:cs="Times New Roman"/>
          <w:color w:val="000000"/>
          <w:sz w:val="28"/>
          <w:szCs w:val="28"/>
        </w:rPr>
      </w:pPr>
      <w:r w:rsidRPr="00F51140">
        <w:rPr>
          <w:rFonts w:ascii="Times New Roman" w:eastAsia="Calibri" w:hAnsi="Times New Roman" w:cs="Times New Roman"/>
          <w:color w:val="000000"/>
          <w:sz w:val="28"/>
          <w:szCs w:val="28"/>
        </w:rPr>
        <w:t xml:space="preserve">1. Утвердить </w:t>
      </w:r>
      <w:hyperlink r:id="rId7" w:history="1">
        <w:r w:rsidRPr="00F51140">
          <w:rPr>
            <w:rFonts w:ascii="Times New Roman" w:eastAsia="Calibri" w:hAnsi="Times New Roman" w:cs="Times New Roman"/>
            <w:color w:val="000000"/>
            <w:sz w:val="28"/>
            <w:szCs w:val="28"/>
          </w:rPr>
          <w:t>Перечень</w:t>
        </w:r>
      </w:hyperlink>
      <w:r w:rsidRPr="00F51140">
        <w:rPr>
          <w:rFonts w:ascii="Times New Roman" w:eastAsia="Calibri" w:hAnsi="Times New Roman" w:cs="Times New Roman"/>
          <w:color w:val="000000"/>
          <w:sz w:val="28"/>
          <w:szCs w:val="28"/>
        </w:rPr>
        <w:t xml:space="preserve">  товарных рынков по содействию развитию конкуренции в муниципальном образовании Веневский район (приложение).</w:t>
      </w:r>
    </w:p>
    <w:p w:rsidR="00F51140" w:rsidRPr="00F51140" w:rsidRDefault="00F51140" w:rsidP="00F51140">
      <w:pPr>
        <w:autoSpaceDE w:val="0"/>
        <w:autoSpaceDN w:val="0"/>
        <w:adjustRightInd w:val="0"/>
        <w:spacing w:after="0"/>
        <w:ind w:firstLine="709"/>
        <w:jc w:val="both"/>
        <w:rPr>
          <w:rFonts w:ascii="Times New Roman" w:eastAsia="Calibri" w:hAnsi="Times New Roman" w:cs="Times New Roman"/>
          <w:color w:val="000000"/>
          <w:sz w:val="28"/>
          <w:szCs w:val="28"/>
        </w:rPr>
      </w:pPr>
      <w:r w:rsidRPr="00F51140">
        <w:rPr>
          <w:rFonts w:ascii="Times New Roman" w:eastAsia="Calibri" w:hAnsi="Times New Roman" w:cs="Times New Roman"/>
          <w:color w:val="000000"/>
          <w:sz w:val="28"/>
          <w:szCs w:val="28"/>
        </w:rPr>
        <w:t xml:space="preserve"> 2. Отделу по МСУ и информационным технологиям администрации муниципального образования Веневский район </w:t>
      </w:r>
      <w:proofErr w:type="gramStart"/>
      <w:r w:rsidRPr="00F51140">
        <w:rPr>
          <w:rFonts w:ascii="Times New Roman" w:eastAsia="Calibri" w:hAnsi="Times New Roman" w:cs="Times New Roman"/>
          <w:color w:val="000000"/>
          <w:sz w:val="28"/>
          <w:szCs w:val="28"/>
        </w:rPr>
        <w:t>разместить</w:t>
      </w:r>
      <w:proofErr w:type="gramEnd"/>
      <w:r w:rsidRPr="00F51140">
        <w:rPr>
          <w:rFonts w:ascii="Times New Roman" w:eastAsia="Calibri" w:hAnsi="Times New Roman" w:cs="Times New Roman"/>
          <w:color w:val="000000"/>
          <w:sz w:val="28"/>
          <w:szCs w:val="28"/>
        </w:rPr>
        <w:t xml:space="preserve"> настоящее постановление в сети Интернет на официальном сайте администрации муниципального образования Веневский район.</w:t>
      </w:r>
    </w:p>
    <w:p w:rsidR="00F51140" w:rsidRPr="00F51140" w:rsidRDefault="00F51140" w:rsidP="00F51140">
      <w:pPr>
        <w:autoSpaceDE w:val="0"/>
        <w:autoSpaceDN w:val="0"/>
        <w:adjustRightInd w:val="0"/>
        <w:spacing w:after="0"/>
        <w:ind w:firstLine="709"/>
        <w:jc w:val="both"/>
        <w:rPr>
          <w:rFonts w:ascii="Times New Roman" w:eastAsia="Times New Roman" w:hAnsi="Times New Roman" w:cs="Times New Roman"/>
          <w:sz w:val="28"/>
          <w:szCs w:val="28"/>
          <w:lang w:eastAsia="ru-RU"/>
        </w:rPr>
      </w:pPr>
      <w:r w:rsidRPr="00F51140">
        <w:rPr>
          <w:rFonts w:ascii="Times New Roman" w:eastAsia="Calibri" w:hAnsi="Times New Roman" w:cs="Times New Roman"/>
          <w:sz w:val="28"/>
          <w:szCs w:val="28"/>
        </w:rPr>
        <w:t>3. </w:t>
      </w:r>
      <w:r w:rsidRPr="00F51140">
        <w:rPr>
          <w:rFonts w:ascii="Times New Roman" w:eastAsia="Times New Roman" w:hAnsi="Times New Roman" w:cs="Times New Roman"/>
          <w:sz w:val="28"/>
          <w:szCs w:val="28"/>
          <w:lang w:eastAsia="ru-RU"/>
        </w:rPr>
        <w:t>Постановление вступает в силу со дня подписания.</w:t>
      </w:r>
    </w:p>
    <w:p w:rsidR="00F51140" w:rsidRPr="00F51140" w:rsidRDefault="00F51140" w:rsidP="00F51140">
      <w:pPr>
        <w:spacing w:after="0" w:line="240" w:lineRule="auto"/>
        <w:ind w:firstLine="720"/>
        <w:jc w:val="both"/>
        <w:rPr>
          <w:rFonts w:ascii="Times New Roman" w:eastAsia="Times New Roman" w:hAnsi="Times New Roman" w:cs="Times New Roman"/>
          <w:sz w:val="28"/>
          <w:szCs w:val="20"/>
          <w:lang w:eastAsia="ru-RU"/>
        </w:rPr>
      </w:pPr>
    </w:p>
    <w:p w:rsidR="00F51140" w:rsidRPr="00F51140" w:rsidRDefault="00F51140" w:rsidP="00F51140">
      <w:pPr>
        <w:spacing w:after="0" w:line="240" w:lineRule="auto"/>
        <w:ind w:firstLine="709"/>
        <w:jc w:val="both"/>
        <w:rPr>
          <w:rFonts w:ascii="Times New Roman" w:eastAsia="Times New Roman" w:hAnsi="Times New Roman" w:cs="Times New Roman"/>
          <w:sz w:val="27"/>
          <w:szCs w:val="27"/>
          <w:lang w:eastAsia="ru-RU"/>
        </w:rPr>
      </w:pPr>
    </w:p>
    <w:p w:rsidR="00F51140" w:rsidRPr="00F51140" w:rsidRDefault="00F51140" w:rsidP="00F51140">
      <w:pPr>
        <w:spacing w:after="0" w:line="240" w:lineRule="auto"/>
        <w:ind w:firstLine="709"/>
        <w:jc w:val="both"/>
        <w:rPr>
          <w:rFonts w:ascii="Times New Roman" w:eastAsia="Times New Roman" w:hAnsi="Times New Roman" w:cs="Times New Roman"/>
          <w:sz w:val="27"/>
          <w:szCs w:val="27"/>
          <w:lang w:eastAsia="ru-RU"/>
        </w:rPr>
      </w:pPr>
    </w:p>
    <w:p w:rsidR="00F51140" w:rsidRPr="00F51140" w:rsidRDefault="00F51140" w:rsidP="00F51140">
      <w:pPr>
        <w:spacing w:after="0" w:line="240" w:lineRule="auto"/>
        <w:ind w:firstLine="709"/>
        <w:jc w:val="both"/>
        <w:rPr>
          <w:rFonts w:ascii="Times New Roman" w:eastAsia="Times New Roman" w:hAnsi="Times New Roman" w:cs="Times New Roman"/>
          <w:sz w:val="28"/>
          <w:szCs w:val="28"/>
          <w:lang w:eastAsia="ru-RU"/>
        </w:rPr>
      </w:pPr>
    </w:p>
    <w:tbl>
      <w:tblPr>
        <w:tblW w:w="0" w:type="auto"/>
        <w:tblLook w:val="04A0" w:firstRow="1" w:lastRow="0" w:firstColumn="1" w:lastColumn="0" w:noHBand="0" w:noVBand="1"/>
      </w:tblPr>
      <w:tblGrid>
        <w:gridCol w:w="4218"/>
        <w:gridCol w:w="2161"/>
        <w:gridCol w:w="3191"/>
      </w:tblGrid>
      <w:tr w:rsidR="00F51140" w:rsidRPr="00F51140" w:rsidTr="001C4403">
        <w:tc>
          <w:tcPr>
            <w:tcW w:w="4218" w:type="dxa"/>
          </w:tcPr>
          <w:p w:rsidR="00F51140" w:rsidRPr="00F51140" w:rsidRDefault="00F51140" w:rsidP="00F51140">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51140">
              <w:rPr>
                <w:rFonts w:ascii="Times New Roman" w:eastAsia="Times New Roman" w:hAnsi="Times New Roman" w:cs="Times New Roman"/>
                <w:b/>
                <w:sz w:val="28"/>
                <w:szCs w:val="28"/>
                <w:lang w:eastAsia="ru-RU"/>
              </w:rPr>
              <w:t>Глава администрации муниципального образования Веневский район</w:t>
            </w:r>
          </w:p>
        </w:tc>
        <w:tc>
          <w:tcPr>
            <w:tcW w:w="2161" w:type="dxa"/>
            <w:tcBorders>
              <w:left w:val="nil"/>
            </w:tcBorders>
          </w:tcPr>
          <w:p w:rsidR="00F51140" w:rsidRPr="00F51140" w:rsidRDefault="00F51140" w:rsidP="00F5114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tc>
        <w:tc>
          <w:tcPr>
            <w:tcW w:w="3191" w:type="dxa"/>
          </w:tcPr>
          <w:p w:rsidR="00F51140" w:rsidRPr="00F51140" w:rsidRDefault="00F51140" w:rsidP="00F5114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51140" w:rsidRPr="00F51140" w:rsidRDefault="00F51140" w:rsidP="00F5114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F51140" w:rsidRPr="00F51140" w:rsidRDefault="00F51140" w:rsidP="00F51140">
            <w:pPr>
              <w:widowControl w:val="0"/>
              <w:autoSpaceDE w:val="0"/>
              <w:autoSpaceDN w:val="0"/>
              <w:adjustRightInd w:val="0"/>
              <w:spacing w:after="0" w:line="240" w:lineRule="auto"/>
              <w:jc w:val="right"/>
              <w:rPr>
                <w:rFonts w:ascii="Times New Roman" w:eastAsia="Times New Roman" w:hAnsi="Times New Roman" w:cs="Times New Roman"/>
                <w:b/>
                <w:sz w:val="28"/>
                <w:szCs w:val="28"/>
                <w:lang w:eastAsia="ru-RU"/>
              </w:rPr>
            </w:pPr>
            <w:r w:rsidRPr="00F51140">
              <w:rPr>
                <w:rFonts w:ascii="Times New Roman" w:eastAsia="Times New Roman" w:hAnsi="Times New Roman" w:cs="Times New Roman"/>
                <w:b/>
                <w:sz w:val="28"/>
                <w:szCs w:val="28"/>
                <w:lang w:eastAsia="ru-RU"/>
              </w:rPr>
              <w:t>А.Г. Шубчинский</w:t>
            </w:r>
          </w:p>
        </w:tc>
      </w:tr>
    </w:tbl>
    <w:p w:rsidR="00F51140" w:rsidRDefault="00F51140" w:rsidP="00F51140">
      <w:pPr>
        <w:spacing w:after="0" w:line="240" w:lineRule="auto"/>
        <w:jc w:val="right"/>
        <w:rPr>
          <w:rFonts w:ascii="Times New Roman" w:eastAsia="Times New Roman" w:hAnsi="Times New Roman" w:cs="Times New Roman"/>
          <w:sz w:val="24"/>
          <w:szCs w:val="24"/>
          <w:lang w:eastAsia="ru-RU"/>
        </w:rPr>
        <w:sectPr w:rsidR="00F51140">
          <w:pgSz w:w="11906" w:h="16838"/>
          <w:pgMar w:top="1134" w:right="850" w:bottom="1134" w:left="1701" w:header="708" w:footer="708" w:gutter="0"/>
          <w:cols w:space="708"/>
          <w:docGrid w:linePitch="360"/>
        </w:sect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tbl>
      <w:tblPr>
        <w:tblpPr w:leftFromText="180" w:rightFromText="180" w:vertAnchor="page" w:horzAnchor="margin" w:tblpXSpec="right" w:tblpY="826"/>
        <w:tblW w:w="4644" w:type="dxa"/>
        <w:tblLayout w:type="fixed"/>
        <w:tblLook w:val="04A0" w:firstRow="1" w:lastRow="0" w:firstColumn="1" w:lastColumn="0" w:noHBand="0" w:noVBand="1"/>
      </w:tblPr>
      <w:tblGrid>
        <w:gridCol w:w="4644"/>
      </w:tblGrid>
      <w:tr w:rsidR="00F51140" w:rsidRPr="00F51140" w:rsidTr="001C4403">
        <w:trPr>
          <w:trHeight w:val="1701"/>
        </w:trPr>
        <w:tc>
          <w:tcPr>
            <w:tcW w:w="4644" w:type="dxa"/>
            <w:tcBorders>
              <w:top w:val="nil"/>
              <w:left w:val="nil"/>
              <w:bottom w:val="nil"/>
              <w:right w:val="nil"/>
            </w:tcBorders>
          </w:tcPr>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p>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r w:rsidRPr="00F51140">
              <w:rPr>
                <w:rFonts w:ascii="Times New Roman" w:eastAsia="Times New Roman" w:hAnsi="Times New Roman" w:cs="Times New Roman"/>
                <w:sz w:val="28"/>
                <w:szCs w:val="28"/>
                <w:lang w:eastAsia="ru-RU"/>
              </w:rPr>
              <w:t xml:space="preserve">Приложение </w:t>
            </w:r>
          </w:p>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r w:rsidRPr="00F51140">
              <w:rPr>
                <w:rFonts w:ascii="Times New Roman" w:eastAsia="Times New Roman" w:hAnsi="Times New Roman" w:cs="Times New Roman"/>
                <w:sz w:val="28"/>
                <w:szCs w:val="28"/>
                <w:lang w:eastAsia="ru-RU"/>
              </w:rPr>
              <w:t xml:space="preserve">к </w:t>
            </w:r>
            <w:r>
              <w:rPr>
                <w:rFonts w:ascii="Times New Roman" w:eastAsia="Times New Roman" w:hAnsi="Times New Roman" w:cs="Times New Roman"/>
                <w:sz w:val="28"/>
                <w:szCs w:val="28"/>
                <w:lang w:eastAsia="ru-RU"/>
              </w:rPr>
              <w:t>постановл</w:t>
            </w:r>
            <w:r w:rsidRPr="00F51140">
              <w:rPr>
                <w:rFonts w:ascii="Times New Roman" w:eastAsia="Times New Roman" w:hAnsi="Times New Roman" w:cs="Times New Roman"/>
                <w:sz w:val="28"/>
                <w:szCs w:val="28"/>
                <w:lang w:eastAsia="ru-RU"/>
              </w:rPr>
              <w:t>ению администрации</w:t>
            </w:r>
          </w:p>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r w:rsidRPr="00F51140">
              <w:rPr>
                <w:rFonts w:ascii="Times New Roman" w:eastAsia="Times New Roman" w:hAnsi="Times New Roman" w:cs="Times New Roman"/>
                <w:sz w:val="28"/>
                <w:szCs w:val="28"/>
                <w:lang w:eastAsia="ru-RU"/>
              </w:rPr>
              <w:t xml:space="preserve"> муниципального образования </w:t>
            </w:r>
          </w:p>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r w:rsidRPr="00F51140">
              <w:rPr>
                <w:rFonts w:ascii="Times New Roman" w:eastAsia="Times New Roman" w:hAnsi="Times New Roman" w:cs="Times New Roman"/>
                <w:sz w:val="28"/>
                <w:szCs w:val="28"/>
                <w:lang w:eastAsia="ru-RU"/>
              </w:rPr>
              <w:t>Веневский район</w:t>
            </w:r>
          </w:p>
          <w:p w:rsidR="00F51140" w:rsidRPr="00F51140" w:rsidRDefault="00F51140" w:rsidP="00F51140">
            <w:pPr>
              <w:spacing w:after="0" w:line="240" w:lineRule="auto"/>
              <w:jc w:val="center"/>
              <w:rPr>
                <w:rFonts w:ascii="Times New Roman" w:eastAsia="Times New Roman" w:hAnsi="Times New Roman" w:cs="Times New Roman"/>
                <w:sz w:val="28"/>
                <w:szCs w:val="28"/>
                <w:lang w:eastAsia="ru-RU"/>
              </w:rPr>
            </w:pPr>
            <w:r w:rsidRPr="00F51140">
              <w:rPr>
                <w:rFonts w:ascii="Times New Roman" w:eastAsia="Times New Roman" w:hAnsi="Times New Roman" w:cs="Times New Roman"/>
                <w:sz w:val="28"/>
                <w:szCs w:val="28"/>
                <w:lang w:eastAsia="ru-RU"/>
              </w:rPr>
              <w:t xml:space="preserve">от ____________ № ____________ </w:t>
            </w:r>
          </w:p>
        </w:tc>
      </w:tr>
    </w:tbl>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F51140" w:rsidRPr="00F51140" w:rsidRDefault="00F51140" w:rsidP="00F51140">
      <w:pPr>
        <w:shd w:val="clear" w:color="auto" w:fill="FFFFFF"/>
        <w:tabs>
          <w:tab w:val="left" w:pos="505"/>
        </w:tabs>
        <w:spacing w:after="0" w:line="240" w:lineRule="auto"/>
        <w:rPr>
          <w:rFonts w:ascii="Times New Roman" w:eastAsia="Calibri" w:hAnsi="Times New Roman" w:cs="Times New Roman"/>
          <w:sz w:val="20"/>
          <w:szCs w:val="20"/>
        </w:rPr>
      </w:pP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r w:rsidRPr="00F51140">
        <w:rPr>
          <w:rFonts w:ascii="Times New Roman" w:eastAsia="Calibri" w:hAnsi="Times New Roman" w:cs="Times New Roman"/>
          <w:b/>
          <w:color w:val="000000"/>
          <w:sz w:val="28"/>
          <w:szCs w:val="28"/>
        </w:rPr>
        <w:t>Перечень товарных рынков по содействию развитию конкуренции</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r w:rsidRPr="00F51140">
        <w:rPr>
          <w:rFonts w:ascii="Times New Roman" w:eastAsia="Calibri" w:hAnsi="Times New Roman" w:cs="Times New Roman"/>
          <w:b/>
          <w:color w:val="000000"/>
          <w:sz w:val="28"/>
          <w:szCs w:val="28"/>
        </w:rPr>
        <w:t>в муниципальном образовании Веневский район</w:t>
      </w:r>
    </w:p>
    <w:p w:rsidR="00F51140" w:rsidRPr="00F51140" w:rsidRDefault="00F51140" w:rsidP="00F51140">
      <w:pPr>
        <w:autoSpaceDE w:val="0"/>
        <w:autoSpaceDN w:val="0"/>
        <w:adjustRightInd w:val="0"/>
        <w:spacing w:after="0"/>
        <w:ind w:firstLine="540"/>
        <w:jc w:val="center"/>
        <w:rPr>
          <w:rFonts w:ascii="Times New Roman" w:eastAsia="Calibri" w:hAnsi="Times New Roman" w:cs="Times New Roman"/>
          <w:b/>
          <w:color w:val="000000"/>
          <w:sz w:val="28"/>
          <w:szCs w:val="28"/>
        </w:rPr>
      </w:pPr>
    </w:p>
    <w:tbl>
      <w:tblPr>
        <w:tblStyle w:val="1"/>
        <w:tblW w:w="14928" w:type="dxa"/>
        <w:tblLayout w:type="fixed"/>
        <w:tblLook w:val="04A0" w:firstRow="1" w:lastRow="0" w:firstColumn="1" w:lastColumn="0" w:noHBand="0" w:noVBand="1"/>
      </w:tblPr>
      <w:tblGrid>
        <w:gridCol w:w="650"/>
        <w:gridCol w:w="2435"/>
        <w:gridCol w:w="7229"/>
        <w:gridCol w:w="2552"/>
        <w:gridCol w:w="2062"/>
      </w:tblGrid>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b/>
                <w:color w:val="000000"/>
                <w:sz w:val="24"/>
                <w:szCs w:val="24"/>
              </w:rPr>
            </w:pPr>
            <w:r w:rsidRPr="00F51140">
              <w:rPr>
                <w:rFonts w:ascii="Times New Roman" w:eastAsia="Lucida Sans Unicode" w:hAnsi="Times New Roman" w:cs="Times New Roman"/>
                <w:b/>
                <w:color w:val="000000"/>
                <w:kern w:val="1"/>
                <w:sz w:val="24"/>
                <w:szCs w:val="24"/>
                <w:lang w:eastAsia="zh-CN" w:bidi="hi-IN"/>
              </w:rPr>
              <w:t xml:space="preserve">№ </w:t>
            </w:r>
            <w:proofErr w:type="gramStart"/>
            <w:r w:rsidRPr="00F51140">
              <w:rPr>
                <w:rFonts w:ascii="Times New Roman" w:eastAsia="Lucida Sans Unicode" w:hAnsi="Times New Roman" w:cs="Times New Roman"/>
                <w:b/>
                <w:color w:val="000000"/>
                <w:kern w:val="1"/>
                <w:sz w:val="24"/>
                <w:szCs w:val="24"/>
                <w:lang w:eastAsia="zh-CN" w:bidi="hi-IN"/>
              </w:rPr>
              <w:t>п</w:t>
            </w:r>
            <w:proofErr w:type="gramEnd"/>
            <w:r w:rsidRPr="00F51140">
              <w:rPr>
                <w:rFonts w:ascii="Times New Roman" w:eastAsia="Lucida Sans Unicode" w:hAnsi="Times New Roman" w:cs="Times New Roman"/>
                <w:b/>
                <w:color w:val="000000"/>
                <w:kern w:val="1"/>
                <w:sz w:val="24"/>
                <w:szCs w:val="24"/>
                <w:lang w:eastAsia="zh-CN" w:bidi="hi-IN"/>
              </w:rPr>
              <w:t>/п</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b/>
                <w:color w:val="000000"/>
                <w:sz w:val="24"/>
                <w:szCs w:val="24"/>
              </w:rPr>
            </w:pPr>
            <w:r w:rsidRPr="00F51140">
              <w:rPr>
                <w:rFonts w:ascii="Times New Roman" w:eastAsia="Lucida Sans Unicode" w:hAnsi="Times New Roman" w:cs="Times New Roman"/>
                <w:b/>
                <w:color w:val="000000"/>
                <w:kern w:val="1"/>
                <w:sz w:val="24"/>
                <w:szCs w:val="24"/>
                <w:lang w:eastAsia="zh-CN" w:bidi="hi-IN"/>
              </w:rPr>
              <w:t>Наименование товарного рынка</w:t>
            </w:r>
          </w:p>
        </w:tc>
        <w:tc>
          <w:tcPr>
            <w:tcW w:w="7229" w:type="dxa"/>
          </w:tcPr>
          <w:p w:rsidR="00F51140" w:rsidRPr="00F51140" w:rsidRDefault="00F51140" w:rsidP="00F51140">
            <w:pPr>
              <w:autoSpaceDE w:val="0"/>
              <w:autoSpaceDN w:val="0"/>
              <w:adjustRightInd w:val="0"/>
              <w:jc w:val="center"/>
              <w:rPr>
                <w:rFonts w:ascii="Times New Roman" w:eastAsia="Calibri" w:hAnsi="Times New Roman" w:cs="Times New Roman"/>
                <w:b/>
                <w:color w:val="000000"/>
                <w:sz w:val="24"/>
                <w:szCs w:val="24"/>
              </w:rPr>
            </w:pPr>
            <w:r w:rsidRPr="00F51140">
              <w:rPr>
                <w:rFonts w:ascii="Times New Roman" w:eastAsia="Lucida Sans Unicode" w:hAnsi="Times New Roman" w:cs="Times New Roman"/>
                <w:b/>
                <w:color w:val="000000"/>
                <w:kern w:val="1"/>
                <w:sz w:val="24"/>
                <w:szCs w:val="24"/>
                <w:lang w:eastAsia="zh-CN" w:bidi="hi-IN"/>
              </w:rPr>
              <w:t>Обоснование для включения рынка в перечень</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b/>
                <w:color w:val="000000"/>
                <w:sz w:val="24"/>
                <w:szCs w:val="24"/>
              </w:rPr>
            </w:pPr>
            <w:r w:rsidRPr="00F51140">
              <w:rPr>
                <w:rFonts w:ascii="Times New Roman" w:eastAsia="Lucida Sans Unicode" w:hAnsi="Times New Roman" w:cs="Times New Roman"/>
                <w:b/>
                <w:color w:val="000000"/>
                <w:kern w:val="1"/>
                <w:sz w:val="24"/>
                <w:szCs w:val="24"/>
                <w:lang w:eastAsia="zh-CN" w:bidi="hi-IN"/>
              </w:rPr>
              <w:t>Наименование ключевого показателя</w:t>
            </w:r>
          </w:p>
        </w:tc>
        <w:tc>
          <w:tcPr>
            <w:tcW w:w="2062" w:type="dxa"/>
          </w:tcPr>
          <w:p w:rsidR="00F51140" w:rsidRPr="00F51140" w:rsidRDefault="00F51140" w:rsidP="00F51140">
            <w:pPr>
              <w:widowControl w:val="0"/>
              <w:suppressLineNumbers/>
              <w:shd w:val="clear" w:color="auto" w:fill="FFFFFF"/>
              <w:suppressAutoHyphens/>
              <w:jc w:val="center"/>
              <w:rPr>
                <w:rFonts w:ascii="Times New Roman" w:eastAsia="Calibri" w:hAnsi="Times New Roman" w:cs="Times New Roman"/>
                <w:b/>
                <w:color w:val="000000"/>
                <w:sz w:val="24"/>
                <w:szCs w:val="24"/>
              </w:rPr>
            </w:pPr>
            <w:r w:rsidRPr="00F51140">
              <w:rPr>
                <w:rFonts w:ascii="Times New Roman" w:eastAsia="Lucida Sans Unicode" w:hAnsi="Times New Roman" w:cs="Times New Roman"/>
                <w:b/>
                <w:color w:val="000000"/>
                <w:kern w:val="1"/>
                <w:sz w:val="24"/>
                <w:szCs w:val="24"/>
                <w:lang w:eastAsia="zh-CN" w:bidi="hi-IN"/>
              </w:rPr>
              <w:t>Минимальное значение ключевого показателя в 2022 году</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Arial Unicode MS" w:hAnsi="Times New Roman" w:cs="Times New Roman"/>
                <w:bCs/>
                <w:color w:val="000000"/>
                <w:sz w:val="24"/>
                <w:szCs w:val="24"/>
                <w:lang w:eastAsia="ru-RU" w:bidi="ru-RU"/>
              </w:rPr>
              <w:t>Рынок медицинских услуг</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На территории района осуществляют медицинскую деятельность  2 организации государственной формы собственности и 2 организации частной формы собственности, что составляет 50% от общего числа медицинских организаций.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характеризуется умеренно развитым уровнем конкуренции и доминированием государственных организаций на рынке.</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Основным фактором, влияющими на развитие конкуренции на рынке медицинских услуг, является недостаточная и неравномерная технологическая оснащенность медицинских учреждений.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К 2022 году планируется сохранить долю организаций медицинских услуг частной формы собственности, приоритетной задачей является повышение спектра и качества медицинских услуг.</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50,0</w:t>
            </w:r>
          </w:p>
        </w:tc>
      </w:tr>
      <w:tr w:rsidR="00F51140" w:rsidRPr="00F51140" w:rsidTr="001C4403">
        <w:trPr>
          <w:trHeight w:val="201"/>
        </w:trPr>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2</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Arial Unicode MS" w:hAnsi="Times New Roman" w:cs="Times New Roman"/>
                <w:bCs/>
                <w:color w:val="000000"/>
                <w:sz w:val="24"/>
                <w:szCs w:val="24"/>
                <w:lang w:eastAsia="ru-RU" w:bidi="ru-RU"/>
              </w:rPr>
              <w:t>Рынок услуг  розничной торговли лекарственными препаратами, медицинскими изделиями и сопутствующими товарами</w:t>
            </w:r>
          </w:p>
        </w:tc>
        <w:tc>
          <w:tcPr>
            <w:tcW w:w="7229" w:type="dxa"/>
          </w:tcPr>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На территории муниципального образования Веневский район расположено 13 объектов розничной торговли лекарственными препаратами и медицинскими изделиями, из которых 10 - частной формы собственности и 3 – государственных. Рынок характеризуется высоким уровнем развития конкуренции. Доля частных аптечных организаций, осуществляющих розничную торговлю фармацевтической продукцией, в общем количестве аптечных организаций, осуществляющих розничную торговлю фармацевтической продукцией, составляет 76,9%.</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Факторы, влияющие на развитие рынка:</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 низкая обеспеченность аптечными пунктами малонаселенных отдаленных территорий;</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 наличие специфических требований к помещениям для размещения аптечных пунктов.</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Задачи по развитию конкуренции на рынке:</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 обеспечение прозрачности и обеспечение равного доступа к лицензированию фармацевтической деятельности организаций всех форм собственности;</w:t>
            </w:r>
          </w:p>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 развитие данного рынка в отдаленных населенных пунктах.</w:t>
            </w:r>
          </w:p>
        </w:tc>
        <w:tc>
          <w:tcPr>
            <w:tcW w:w="2552" w:type="dxa"/>
          </w:tcPr>
          <w:p w:rsidR="00F51140" w:rsidRPr="00F51140" w:rsidRDefault="00F51140" w:rsidP="00F51140">
            <w:pPr>
              <w:rPr>
                <w:rFonts w:ascii="Times New Roman" w:eastAsia="Calibri" w:hAnsi="Times New Roman" w:cs="Times New Roman"/>
                <w:sz w:val="24"/>
                <w:szCs w:val="24"/>
              </w:rPr>
            </w:pPr>
            <w:r w:rsidRPr="00F51140">
              <w:rPr>
                <w:rFonts w:ascii="Times New Roman" w:eastAsia="Calibri" w:hAnsi="Times New Roman" w:cs="Times New Roman"/>
                <w:sz w:val="24"/>
                <w:szCs w:val="24"/>
              </w:rPr>
              <w:t>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78,6</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3</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ритуальных услуг</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Ритуальные услуги на территории района представляют 6 организации, из них 5 частной формы собственности и 1 -</w:t>
            </w:r>
            <w:proofErr w:type="gramStart"/>
            <w:r w:rsidRPr="00F51140">
              <w:rPr>
                <w:rFonts w:ascii="Times New Roman" w:eastAsia="Calibri" w:hAnsi="Times New Roman" w:cs="Times New Roman"/>
                <w:color w:val="000000"/>
                <w:sz w:val="24"/>
                <w:szCs w:val="24"/>
              </w:rPr>
              <w:t>муниципальная</w:t>
            </w:r>
            <w:proofErr w:type="gramEnd"/>
            <w:r w:rsidRPr="00F51140">
              <w:rPr>
                <w:rFonts w:ascii="Times New Roman" w:eastAsia="Calibri" w:hAnsi="Times New Roman" w:cs="Times New Roman"/>
                <w:color w:val="000000"/>
                <w:sz w:val="24"/>
                <w:szCs w:val="24"/>
              </w:rPr>
              <w:t>. Доля организаций частной формы собственности составляет 83,3%. Рынок характеризуется высоким уровнем развития конкуренции.  К 2022 году планируется сохранение данного показателя.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Ритуальная деятельность сегодня имеет положительные  тенденции развития. В то же время </w:t>
            </w:r>
            <w:proofErr w:type="gramStart"/>
            <w:r w:rsidRPr="00F51140">
              <w:rPr>
                <w:rFonts w:ascii="Times New Roman" w:eastAsia="Calibri" w:hAnsi="Times New Roman" w:cs="Times New Roman"/>
                <w:color w:val="000000"/>
                <w:sz w:val="24"/>
                <w:szCs w:val="24"/>
              </w:rPr>
              <w:t>существуют ряд проблем</w:t>
            </w:r>
            <w:proofErr w:type="gramEnd"/>
            <w:r w:rsidRPr="00F51140">
              <w:rPr>
                <w:rFonts w:ascii="Times New Roman" w:eastAsia="Calibri" w:hAnsi="Times New Roman" w:cs="Times New Roman"/>
                <w:color w:val="000000"/>
                <w:sz w:val="24"/>
                <w:szCs w:val="24"/>
              </w:rPr>
              <w:t>:</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недобросовестная конкуренция,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несовершенство земельного законодательства.</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Таким образом, основными задачами по содействию развитию конкуренции на рынке являются: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развитие нормативной правовой базы в сфере ритуальных услуг.</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ритуальных услуг,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83,3</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4</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Рынок </w:t>
            </w:r>
            <w:r w:rsidRPr="00F51140">
              <w:rPr>
                <w:rFonts w:ascii="Times New Roman" w:eastAsia="Calibri" w:hAnsi="Times New Roman" w:cs="Times New Roman"/>
                <w:color w:val="000000"/>
                <w:sz w:val="24"/>
                <w:szCs w:val="24"/>
              </w:rPr>
              <w:lastRenderedPageBreak/>
              <w:t>теплоснабжения (производство тепловой энергии)</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 xml:space="preserve">В январе 2019 года заключено концессионное соглашение в </w:t>
            </w:r>
            <w:r w:rsidRPr="00F51140">
              <w:rPr>
                <w:rFonts w:ascii="Times New Roman" w:eastAsia="Calibri" w:hAnsi="Times New Roman" w:cs="Times New Roman"/>
                <w:color w:val="000000"/>
                <w:sz w:val="24"/>
                <w:szCs w:val="24"/>
              </w:rPr>
              <w:lastRenderedPageBreak/>
              <w:t xml:space="preserve">отношении объектов теплоснабжения, принадлежащих на правах собственности муниципальному образованию Веневский район  с ООО «Компания коммунальной сферы», в </w:t>
            </w:r>
            <w:proofErr w:type="spellStart"/>
            <w:r w:rsidRPr="00F51140">
              <w:rPr>
                <w:rFonts w:ascii="Times New Roman" w:eastAsia="Calibri" w:hAnsi="Times New Roman" w:cs="Times New Roman"/>
                <w:color w:val="000000"/>
                <w:sz w:val="24"/>
                <w:szCs w:val="24"/>
              </w:rPr>
              <w:t>н.п</w:t>
            </w:r>
            <w:proofErr w:type="spellEnd"/>
            <w:r w:rsidRPr="00F51140">
              <w:rPr>
                <w:rFonts w:ascii="Times New Roman" w:eastAsia="Calibri" w:hAnsi="Times New Roman" w:cs="Times New Roman"/>
                <w:color w:val="000000"/>
                <w:sz w:val="24"/>
                <w:szCs w:val="24"/>
              </w:rPr>
              <w:t xml:space="preserve">. </w:t>
            </w:r>
            <w:proofErr w:type="spellStart"/>
            <w:r w:rsidRPr="00F51140">
              <w:rPr>
                <w:rFonts w:ascii="Times New Roman" w:eastAsia="Calibri" w:hAnsi="Times New Roman" w:cs="Times New Roman"/>
                <w:color w:val="000000"/>
                <w:sz w:val="24"/>
                <w:szCs w:val="24"/>
              </w:rPr>
              <w:t>Грицовский</w:t>
            </w:r>
            <w:proofErr w:type="spellEnd"/>
            <w:r w:rsidRPr="00F51140">
              <w:rPr>
                <w:rFonts w:ascii="Times New Roman" w:eastAsia="Calibri" w:hAnsi="Times New Roman" w:cs="Times New Roman"/>
                <w:color w:val="000000"/>
                <w:sz w:val="24"/>
                <w:szCs w:val="24"/>
              </w:rPr>
              <w:t xml:space="preserve"> услуги по теплоснабжению предоставляет ООО «</w:t>
            </w:r>
            <w:proofErr w:type="spellStart"/>
            <w:r w:rsidRPr="00F51140">
              <w:rPr>
                <w:rFonts w:ascii="Times New Roman" w:eastAsia="Calibri" w:hAnsi="Times New Roman" w:cs="Times New Roman"/>
                <w:color w:val="000000"/>
                <w:sz w:val="24"/>
                <w:szCs w:val="24"/>
              </w:rPr>
              <w:t>Теплоресурс</w:t>
            </w:r>
            <w:proofErr w:type="spellEnd"/>
            <w:r w:rsidRPr="00F51140">
              <w:rPr>
                <w:rFonts w:ascii="Times New Roman" w:eastAsia="Calibri" w:hAnsi="Times New Roman" w:cs="Times New Roman"/>
                <w:color w:val="000000"/>
                <w:sz w:val="24"/>
                <w:szCs w:val="24"/>
              </w:rPr>
              <w:t xml:space="preserve">». Доля организаций частной формы собственности составляет 100,0%.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На рынке услуг теплоснабжения существенными факторами,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сдерживающими конкуренцию, являются: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ограничение роста платы граждан за коммунальные услуги;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износ основных фондов в сфере теплоснабжения.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В целях развития рынка необходимо предпринимать меры, направленные на повышение качества услуг в сфере теплоснабжения, привлечение частных инвестиций и поддержание существующей доли частного сектора на рынке.</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 xml:space="preserve">Доля организаций </w:t>
            </w:r>
            <w:r w:rsidRPr="00F51140">
              <w:rPr>
                <w:rFonts w:ascii="Times New Roman" w:eastAsia="Calibri" w:hAnsi="Times New Roman" w:cs="Times New Roman"/>
                <w:color w:val="000000"/>
                <w:sz w:val="24"/>
                <w:szCs w:val="24"/>
              </w:rPr>
              <w:lastRenderedPageBreak/>
              <w:t>частной формы собственности в сфере теплоснабжения (производство тепловой энергии),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5</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услуг по сбору и транспортированию твердых коммунальных отходов</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Услуги по сбору и транспортированию твердых коммунальных отходов (далее – ТКО) предоставляются региональным оператором по обращению с ТКО  - ООО «МСК-НТ». Доля организаций частной формы собственности на рынке составляет 100,0%.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проблемой на рынке является качество оказываемых услуг, в связи, с чем необходимо предпринимать меры по повышению качества услуг по транспортировке ТКО.</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услуг по сбору и транспортированию твердых коммунальных отходов,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6</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выполнения работ по благоустройству городской среды</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Данный рынок представлен двумя частными организациями, зарегистрированными на территории Веневского района (ООО «Дорожник», ООО «Гарант»). Отбор организаций для проведения работ по благоустройству городской среды (территорий общего пользования, мест массового отдыха населения, дворовых территорий)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№44-ФЗ</w:t>
            </w:r>
            <w:r w:rsidRPr="00F51140">
              <w:rPr>
                <w:rFonts w:ascii="Times New Roman" w:eastAsia="Calibri" w:hAnsi="Times New Roman" w:cs="Times New Roman"/>
                <w:sz w:val="24"/>
                <w:szCs w:val="24"/>
              </w:rPr>
              <w:t>. В результате конкурентных процедур по итогам 2018 года и 1 полугодия 2019 года  работы по благоустройству городской среды выполнялись ООО «Дорожник», доля частного бизнеса 100%.</w:t>
            </w:r>
          </w:p>
        </w:tc>
        <w:tc>
          <w:tcPr>
            <w:tcW w:w="2552"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Arial Unicode MS" w:hAnsi="Times New Roman" w:cs="Times New Roman"/>
                <w:bCs/>
                <w:color w:val="000000"/>
                <w:sz w:val="24"/>
                <w:szCs w:val="24"/>
                <w:lang w:eastAsia="ru-RU" w:bidi="ru-RU"/>
              </w:rPr>
              <w:t>Доля организаций частной формы собственности в сфере выполнения работ по благоустройству городской среды,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7</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color w:val="000000"/>
                <w:sz w:val="24"/>
                <w:szCs w:val="24"/>
              </w:rPr>
              <w:t xml:space="preserve">В настоящее время деятельность по управлению многоквартирными домами осуществляют </w:t>
            </w:r>
            <w:r w:rsidRPr="00F51140">
              <w:rPr>
                <w:rFonts w:ascii="Times New Roman" w:eastAsia="Calibri" w:hAnsi="Times New Roman" w:cs="Times New Roman"/>
                <w:sz w:val="24"/>
                <w:szCs w:val="24"/>
              </w:rPr>
              <w:t>2 управляющие организации: МУП «Управляющая организация  муниципального образования Веневский район» и ЗАО «</w:t>
            </w:r>
            <w:proofErr w:type="spellStart"/>
            <w:r w:rsidRPr="00F51140">
              <w:rPr>
                <w:rFonts w:ascii="Times New Roman" w:eastAsia="Calibri" w:hAnsi="Times New Roman" w:cs="Times New Roman"/>
                <w:sz w:val="24"/>
                <w:szCs w:val="24"/>
              </w:rPr>
              <w:t>Грицовский</w:t>
            </w:r>
            <w:proofErr w:type="spellEnd"/>
            <w:r w:rsidRPr="00F51140">
              <w:rPr>
                <w:rFonts w:ascii="Times New Roman" w:eastAsia="Calibri" w:hAnsi="Times New Roman" w:cs="Times New Roman"/>
                <w:sz w:val="24"/>
                <w:szCs w:val="24"/>
              </w:rPr>
              <w:t xml:space="preserve"> коммунальщик», доля частного бизнеса 50%.</w:t>
            </w:r>
          </w:p>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sz w:val="24"/>
                <w:szCs w:val="24"/>
              </w:rPr>
              <w:t>Рынок характеризуется умеренным уровнем развития конкуренции.</w:t>
            </w:r>
          </w:p>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sz w:val="24"/>
                <w:szCs w:val="24"/>
              </w:rPr>
              <w:t>К 2022 году планируется увеличение показателя до 100% в связи с установлением законодательного запрета деятельности государственных и муниципальных унитарных предприятий на конкурентных рынках.</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sz w:val="24"/>
                <w:szCs w:val="24"/>
              </w:rPr>
              <w:t>Проблемой в сфере управления многоквартирными домами</w:t>
            </w:r>
            <w:r w:rsidRPr="00F51140">
              <w:rPr>
                <w:rFonts w:ascii="Times New Roman" w:eastAsia="Calibri" w:hAnsi="Times New Roman" w:cs="Times New Roman"/>
                <w:color w:val="000000"/>
                <w:sz w:val="24"/>
                <w:szCs w:val="24"/>
              </w:rPr>
              <w:t xml:space="preserve"> является недостаточное качество оказываемых хозяйствующими субъектами услуг.</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на рынке является повышение качества услуг, оказываемых управляющими компаниями.</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8</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Данный рынок представлен тремя организациями, доля на рынке частного бизнеса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Times New Roman" w:hAnsi="Times New Roman" w:cs="Times New Roman"/>
                <w:color w:val="2D2D2D"/>
                <w:sz w:val="24"/>
                <w:szCs w:val="24"/>
                <w:lang w:eastAsia="ru-RU"/>
              </w:rPr>
              <w:t>Основной задачей является поддержание развитого уровня конкуренции, создание условий для формирования комфортной конкурентной среды.</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Arial Unicode MS" w:hAnsi="Times New Roman" w:cs="Times New Roman"/>
                <w:bCs/>
                <w:color w:val="000000"/>
                <w:sz w:val="24"/>
                <w:szCs w:val="24"/>
                <w:lang w:eastAsia="ru-RU" w:bidi="ru-RU"/>
              </w:rPr>
              <w:t>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9</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Рынок оказания услуг по перевозке пассажиров автомобильным транспортом по </w:t>
            </w:r>
            <w:r w:rsidRPr="00F51140">
              <w:rPr>
                <w:rFonts w:ascii="Times New Roman" w:eastAsia="Calibri" w:hAnsi="Times New Roman" w:cs="Times New Roman"/>
                <w:color w:val="000000"/>
                <w:sz w:val="24"/>
                <w:szCs w:val="24"/>
              </w:rPr>
              <w:lastRenderedPageBreak/>
              <w:t>межмуниципальным маршрутам регулярных перевозок</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Рынок представлен двумя организациями, доля на рынке частного бизнеса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является поддержание развитого уровня конкуренции, создание условий для формирования комфортной конкурентной среды.</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Доля услуг (работ) по перевозке пассажиров автомобильным транспортом по межмуниципальным </w:t>
            </w:r>
            <w:r w:rsidRPr="00F51140">
              <w:rPr>
                <w:rFonts w:ascii="Times New Roman" w:eastAsia="Calibri" w:hAnsi="Times New Roman" w:cs="Times New Roman"/>
                <w:color w:val="000000"/>
                <w:sz w:val="24"/>
                <w:szCs w:val="24"/>
              </w:rPr>
              <w:lastRenderedPageBreak/>
              <w:t>маршрутам регулярных перевозок, оказанных (выполненных) организациями частной формы собственности,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10</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оказания услуг по перевозке пассажиров и багажа легковым такси</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Согласно данным Единого реестра малого и среднего предпринимательства на территории района зарегистрировано 26 организаций по перевозке пассажиров и багажа легковым такси. Рынок является развитым, доля организаций частного сектора на данном рынке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на рынке является создание условий для честной конкуренции на рынке между хозяйствующими субъектами.</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11</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оказания услуг по ремонту автотранспортных средств</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rPr>
            </w:pPr>
            <w:r w:rsidRPr="00F51140">
              <w:rPr>
                <w:rFonts w:ascii="Times New Roman" w:eastAsia="Calibri" w:hAnsi="Times New Roman" w:cs="Times New Roman"/>
                <w:color w:val="000000"/>
              </w:rPr>
              <w:t>Согласно данным Единого реестра субъектов малого и среднего</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предпринимательства в Веневском районе </w:t>
            </w:r>
            <w:proofErr w:type="gramStart"/>
            <w:r w:rsidRPr="00F51140">
              <w:rPr>
                <w:rFonts w:ascii="Times New Roman" w:eastAsia="Calibri" w:hAnsi="Times New Roman" w:cs="Times New Roman"/>
                <w:color w:val="000000"/>
                <w:sz w:val="24"/>
                <w:szCs w:val="24"/>
              </w:rPr>
              <w:t>зарегистрирован</w:t>
            </w:r>
            <w:proofErr w:type="gramEnd"/>
            <w:r w:rsidRPr="00F51140">
              <w:rPr>
                <w:rFonts w:ascii="Times New Roman" w:eastAsia="Calibri" w:hAnsi="Times New Roman" w:cs="Times New Roman"/>
                <w:color w:val="000000"/>
                <w:sz w:val="24"/>
                <w:szCs w:val="24"/>
              </w:rPr>
              <w:t xml:space="preserve"> 21 организация, оказывающая услуги по ремонту автотранспортных средств. Рынок является развитым, доля организаций частного сектора на данном рынке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является поддержание развитого уровня конкуренции, создание условий для формирования комфортной конкурентной среды.</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bCs/>
                <w:color w:val="000000"/>
                <w:sz w:val="24"/>
                <w:szCs w:val="24"/>
                <w:lang w:bidi="ru-RU"/>
              </w:rPr>
              <w:t>Доля организаций частной формы собственности в сфере оказания услуг по ремонту автотранспортных средств,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rPr>
          <w:trHeight w:val="2477"/>
        </w:trPr>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12</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Рынок услуг связи, в том числе услуг по предоставлению широкополосного доступа </w:t>
            </w:r>
            <w:proofErr w:type="gramStart"/>
            <w:r w:rsidRPr="00F51140">
              <w:rPr>
                <w:rFonts w:ascii="Times New Roman" w:eastAsia="Calibri" w:hAnsi="Times New Roman" w:cs="Times New Roman"/>
                <w:color w:val="000000"/>
                <w:sz w:val="24"/>
                <w:szCs w:val="24"/>
              </w:rPr>
              <w:t>к</w:t>
            </w:r>
            <w:proofErr w:type="gramEnd"/>
            <w:r w:rsidRPr="00F51140">
              <w:rPr>
                <w:rFonts w:ascii="Times New Roman" w:eastAsia="Calibri" w:hAnsi="Times New Roman" w:cs="Times New Roman"/>
                <w:color w:val="000000"/>
                <w:sz w:val="24"/>
                <w:szCs w:val="24"/>
              </w:rPr>
              <w:t xml:space="preserve"> информационно-</w:t>
            </w:r>
          </w:p>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телекоммуникационной сети "Интернет"</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FF0000"/>
                <w:sz w:val="24"/>
                <w:szCs w:val="24"/>
              </w:rPr>
            </w:pPr>
            <w:r w:rsidRPr="00F51140">
              <w:rPr>
                <w:rFonts w:ascii="Times New Roman" w:eastAsia="Calibri" w:hAnsi="Times New Roman" w:cs="Times New Roman"/>
                <w:color w:val="000000"/>
                <w:sz w:val="24"/>
                <w:szCs w:val="24"/>
              </w:rPr>
              <w:t xml:space="preserve">Доля жителей населенных пунктов, в которых </w:t>
            </w:r>
            <w:proofErr w:type="gramStart"/>
            <w:r w:rsidRPr="00F51140">
              <w:rPr>
                <w:rFonts w:ascii="Times New Roman" w:eastAsia="Calibri" w:hAnsi="Times New Roman" w:cs="Times New Roman"/>
                <w:color w:val="000000"/>
                <w:sz w:val="24"/>
                <w:szCs w:val="24"/>
              </w:rPr>
              <w:t xml:space="preserve">имеется возможность пользоваться услугами широкополосного доступа в сеть Интернет </w:t>
            </w:r>
            <w:r w:rsidRPr="00F51140">
              <w:rPr>
                <w:rFonts w:ascii="Times New Roman" w:eastAsia="Calibri" w:hAnsi="Times New Roman" w:cs="Times New Roman"/>
                <w:sz w:val="24"/>
                <w:szCs w:val="24"/>
              </w:rPr>
              <w:t>составляет</w:t>
            </w:r>
            <w:proofErr w:type="gramEnd"/>
            <w:r w:rsidRPr="00F51140">
              <w:rPr>
                <w:rFonts w:ascii="Times New Roman" w:eastAsia="Calibri" w:hAnsi="Times New Roman" w:cs="Times New Roman"/>
                <w:sz w:val="24"/>
                <w:szCs w:val="24"/>
              </w:rPr>
              <w:t xml:space="preserve"> 92,1%.</w:t>
            </w:r>
            <w:r w:rsidRPr="00F51140">
              <w:rPr>
                <w:rFonts w:ascii="Times New Roman" w:eastAsia="Calibri" w:hAnsi="Times New Roman" w:cs="Times New Roman"/>
                <w:color w:val="FF0000"/>
                <w:sz w:val="24"/>
                <w:szCs w:val="24"/>
              </w:rPr>
              <w:t xml:space="preserve">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Рынок является развитым, доля организаций частной формы собственности на рынке составляет 100,0%.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proofErr w:type="gramStart"/>
            <w:r w:rsidRPr="00F51140">
              <w:rPr>
                <w:rFonts w:ascii="Times New Roman" w:eastAsia="Calibri" w:hAnsi="Times New Roman" w:cs="Times New Roman"/>
                <w:color w:val="000000"/>
                <w:sz w:val="24"/>
                <w:szCs w:val="24"/>
              </w:rPr>
              <w:t>Ключевыми факторами, препятствующими дальнейшему развитию конкуренции являются</w:t>
            </w:r>
            <w:proofErr w:type="gramEnd"/>
            <w:r w:rsidRPr="00F51140">
              <w:rPr>
                <w:rFonts w:ascii="Times New Roman" w:eastAsia="Calibri" w:hAnsi="Times New Roman" w:cs="Times New Roman"/>
                <w:color w:val="000000"/>
                <w:sz w:val="24"/>
                <w:szCs w:val="24"/>
              </w:rPr>
              <w:t>:</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необходимость создания материально-технической базы (строительство базовых станций, сетевой инфраструктуры);</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малочисленность и низкая платежеспособность населения в сельских населенных пунктах.</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по развитию конкуренции на рынке является поддержание развитого уровня конкуренции, создание условий для формирования комфортной конкурентной среды.</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Доля организаций частной формы собственности в сфере оказания услуг по предоставлению широкополосного доступа к </w:t>
            </w:r>
            <w:proofErr w:type="spellStart"/>
            <w:r w:rsidRPr="00F51140">
              <w:rPr>
                <w:rFonts w:ascii="Times New Roman" w:eastAsia="Calibri" w:hAnsi="Times New Roman" w:cs="Times New Roman"/>
                <w:color w:val="000000"/>
                <w:sz w:val="24"/>
                <w:szCs w:val="24"/>
              </w:rPr>
              <w:t>нформационнотелекоммуникационной</w:t>
            </w:r>
            <w:proofErr w:type="spellEnd"/>
            <w:r w:rsidRPr="00F51140">
              <w:rPr>
                <w:rFonts w:ascii="Times New Roman" w:eastAsia="Calibri" w:hAnsi="Times New Roman" w:cs="Times New Roman"/>
                <w:color w:val="000000"/>
                <w:sz w:val="24"/>
                <w:szCs w:val="24"/>
              </w:rPr>
              <w:t xml:space="preserve"> сети "Интернет",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13</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дорожной деятельности (за исключением проектирования)</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В районе в сфере дорожной деятельности работают две частные организации.</w:t>
            </w:r>
            <w:r w:rsidRPr="00F51140">
              <w:rPr>
                <w:rFonts w:ascii="Arial" w:eastAsia="Times New Roman" w:hAnsi="Arial" w:cs="Arial"/>
                <w:lang w:eastAsia="ru-RU"/>
              </w:rPr>
              <w:t xml:space="preserve"> </w:t>
            </w:r>
            <w:r w:rsidRPr="00F51140">
              <w:rPr>
                <w:rFonts w:ascii="Times New Roman" w:eastAsia="Calibri" w:hAnsi="Times New Roman" w:cs="Times New Roman"/>
                <w:color w:val="000000"/>
                <w:sz w:val="24"/>
                <w:szCs w:val="24"/>
              </w:rPr>
              <w:t>Однако</w:t>
            </w:r>
            <w:proofErr w:type="gramStart"/>
            <w:r w:rsidRPr="00F51140">
              <w:rPr>
                <w:rFonts w:ascii="Times New Roman" w:eastAsia="Calibri" w:hAnsi="Times New Roman" w:cs="Times New Roman"/>
                <w:color w:val="000000"/>
                <w:sz w:val="24"/>
                <w:szCs w:val="24"/>
              </w:rPr>
              <w:t>,</w:t>
            </w:r>
            <w:proofErr w:type="gramEnd"/>
            <w:r w:rsidRPr="00F51140">
              <w:rPr>
                <w:rFonts w:ascii="Times New Roman" w:eastAsia="Calibri" w:hAnsi="Times New Roman" w:cs="Times New Roman"/>
                <w:color w:val="000000"/>
                <w:sz w:val="24"/>
                <w:szCs w:val="24"/>
              </w:rPr>
              <w:t xml:space="preserve"> отбор организаций для дорожного строительства осуществляется в соответствии с Федеральным законом «О контрактной системе в сфере закупок товаров, работ, услуг для обеспечения государственных и муниципальных нужд» от 05.04.2013 №44-ФЗ. В результате конкурентных процедур по итогам 2018 года и 1 полугодия 2019 года  дорожная </w:t>
            </w:r>
            <w:proofErr w:type="spellStart"/>
            <w:r w:rsidRPr="00F51140">
              <w:rPr>
                <w:rFonts w:ascii="Times New Roman" w:eastAsia="Calibri" w:hAnsi="Times New Roman" w:cs="Times New Roman"/>
                <w:color w:val="000000"/>
                <w:sz w:val="24"/>
                <w:szCs w:val="24"/>
              </w:rPr>
              <w:t>деятельностьосуществлялась</w:t>
            </w:r>
            <w:proofErr w:type="spellEnd"/>
            <w:r w:rsidRPr="00F51140">
              <w:rPr>
                <w:rFonts w:ascii="Times New Roman" w:eastAsia="Calibri" w:hAnsi="Times New Roman" w:cs="Times New Roman"/>
                <w:color w:val="000000"/>
                <w:sz w:val="24"/>
                <w:szCs w:val="24"/>
              </w:rPr>
              <w:t xml:space="preserve"> 1 государственной организацией и двумя частными, доля частного бизнеса составляет 66,7%.</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Основными факторами, влияющими на развитие рынка, являются:</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недостаточная оснащенность организаций техникой для осуществления дорожной деятельности;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ненадлежащее качество выполняемых работ.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по развитию конкуренции на рынке является поддержание развитого уровня конкуренции, создание условий для формирования комфортной конкурентной среды.</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дорожной деятельности (за исключением проектирования),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sz w:val="24"/>
                <w:szCs w:val="24"/>
              </w:rPr>
            </w:pPr>
            <w:r w:rsidRPr="00F51140">
              <w:rPr>
                <w:rFonts w:ascii="Times New Roman" w:eastAsia="Calibri" w:hAnsi="Times New Roman" w:cs="Times New Roman"/>
                <w:sz w:val="24"/>
                <w:szCs w:val="24"/>
              </w:rPr>
              <w:t>80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14</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bCs/>
                <w:color w:val="000000"/>
                <w:sz w:val="24"/>
                <w:szCs w:val="24"/>
                <w:lang w:bidi="ru-RU"/>
              </w:rPr>
              <w:t>Рынок кадастровых и землеустроительных работ</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Кадастровую деятельность в соответствии с требованиями Федерального закона от 24 июля 2007 года № 221-ФЗ «О кадастровой деятельности» вправе осуществлять только </w:t>
            </w:r>
            <w:r w:rsidRPr="00F51140">
              <w:rPr>
                <w:rFonts w:ascii="Times New Roman" w:eastAsia="Calibri" w:hAnsi="Times New Roman" w:cs="Times New Roman"/>
                <w:color w:val="000000"/>
                <w:sz w:val="24"/>
                <w:szCs w:val="24"/>
              </w:rPr>
              <w:lastRenderedPageBreak/>
              <w:t>кадастровые инженеры. При этом данные услуги могут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оказывать как кадастровые инженеры, действующие в качестве индивидуальных предпринимателей, так и инженеры, осуществляющие деятельность в качестве работников юридического лица.</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На территории района кадастровую деятельность осуществляют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proofErr w:type="gramStart"/>
            <w:r w:rsidRPr="00F51140">
              <w:rPr>
                <w:rFonts w:ascii="Times New Roman" w:eastAsia="Calibri" w:hAnsi="Times New Roman" w:cs="Times New Roman"/>
                <w:color w:val="000000"/>
                <w:sz w:val="24"/>
                <w:szCs w:val="24"/>
              </w:rPr>
              <w:t>4 кадастровых организации,  из которых доля частного сектора составляет 75%.</w:t>
            </w:r>
            <w:proofErr w:type="gramEnd"/>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Несмотря на положительные тенденции развития рынка, существуют факторы, препятствующие его развитию:</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снижение количества заказов на выполнение работ, в связи с сокращением объектов, требующих постановку на кадастровый учет;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недостаточный уровень квалификации кадастровых инженеров.</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 xml:space="preserve">Доля организаций частной формы собственности в сфере </w:t>
            </w:r>
            <w:r w:rsidRPr="00F51140">
              <w:rPr>
                <w:rFonts w:ascii="Times New Roman" w:eastAsia="Calibri" w:hAnsi="Times New Roman" w:cs="Times New Roman"/>
                <w:color w:val="000000"/>
                <w:sz w:val="24"/>
                <w:szCs w:val="24"/>
              </w:rPr>
              <w:lastRenderedPageBreak/>
              <w:t>кадастровых и землеустроительных работ,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75</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15</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bCs/>
                <w:sz w:val="24"/>
                <w:szCs w:val="24"/>
                <w:lang w:bidi="ru-RU"/>
              </w:rPr>
            </w:pPr>
            <w:r w:rsidRPr="00F51140">
              <w:rPr>
                <w:rFonts w:ascii="Times New Roman" w:eastAsia="Calibri" w:hAnsi="Times New Roman" w:cs="Times New Roman"/>
                <w:bCs/>
                <w:sz w:val="24"/>
                <w:szCs w:val="24"/>
                <w:lang w:bidi="ru-RU"/>
              </w:rPr>
              <w:t>Рынок семеноводства</w:t>
            </w:r>
          </w:p>
          <w:p w:rsidR="00F51140" w:rsidRPr="00F51140" w:rsidRDefault="00F51140" w:rsidP="00F51140">
            <w:pPr>
              <w:autoSpaceDE w:val="0"/>
              <w:autoSpaceDN w:val="0"/>
              <w:adjustRightInd w:val="0"/>
              <w:jc w:val="center"/>
              <w:rPr>
                <w:rFonts w:ascii="Times New Roman" w:eastAsia="Calibri" w:hAnsi="Times New Roman" w:cs="Times New Roman"/>
                <w:bCs/>
                <w:color w:val="000000"/>
                <w:sz w:val="24"/>
                <w:szCs w:val="24"/>
                <w:lang w:bidi="ru-RU"/>
              </w:rPr>
            </w:pP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Отрасль семеноводства сельскохозяйственных культур представлена двумя предприятиями – ООО «Залесово» </w:t>
            </w:r>
            <w:proofErr w:type="gramStart"/>
            <w:r w:rsidRPr="00F51140">
              <w:rPr>
                <w:rFonts w:ascii="Times New Roman" w:eastAsia="Calibri" w:hAnsi="Times New Roman" w:cs="Times New Roman"/>
                <w:color w:val="000000"/>
                <w:sz w:val="24"/>
                <w:szCs w:val="24"/>
              </w:rPr>
              <w:t>и ООО</w:t>
            </w:r>
            <w:proofErr w:type="gramEnd"/>
            <w:r w:rsidRPr="00F51140">
              <w:rPr>
                <w:rFonts w:ascii="Times New Roman" w:eastAsia="Calibri" w:hAnsi="Times New Roman" w:cs="Times New Roman"/>
                <w:color w:val="000000"/>
                <w:sz w:val="24"/>
                <w:szCs w:val="24"/>
              </w:rPr>
              <w:t xml:space="preserve"> «Родниковое Поле».</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В ООО «Залесово» производятся семена высших репродукций зерновых культур, в 2018 году произведено семян зерновых культур категории элита 302 тонны.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На базе ООО «Родниковое Поле» организовано производство семян льна-долгунца совместно с филиалом Федерального государственного бюджетного научного учреждения «Федеральный научный центр лубяных культур» (г. Торжок). В 2018 году площадь льна-долгунца составила 300 га, произведено семян категории ОС 132,5 тонн, в 2019 году площадь семенных посевов льна-долгунца увеличилась 132 га.</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Всего в 2018 году площади, посеянные семенами высших репродукций и гибридов первого поколения, составили: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зерновые культуры – 435 га (2,3% от общей посевной площади);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картофель – 260 га (6%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овощи – 673 га (100%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лен – 300 га (100%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В 2019 году сортовые посевы составляют: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зерновые культуры – 521 га (2,3% от общей посевной площади);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картофель – 55 га (2%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овощи – 429 га (100%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лен – 432 га (100% посевных площадей).</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Сортовые и гибридные семена, не производящиеся на территории района, закупаются в хозяйствах Тульской области и других регионах.</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является умеренно развитым, доля организаций частного сектора на рынке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rPr>
            </w:pPr>
            <w:r w:rsidRPr="00F51140">
              <w:rPr>
                <w:rFonts w:ascii="Times New Roman" w:eastAsia="Calibri" w:hAnsi="Times New Roman" w:cs="Times New Roman"/>
                <w:color w:val="000000"/>
              </w:rPr>
              <w:t>Так как сельское хозяйство является приоритетным направлением</w:t>
            </w:r>
          </w:p>
          <w:p w:rsidR="00F51140" w:rsidRPr="00F51140" w:rsidRDefault="00F51140" w:rsidP="00F51140">
            <w:pPr>
              <w:autoSpaceDE w:val="0"/>
              <w:autoSpaceDN w:val="0"/>
              <w:adjustRightInd w:val="0"/>
              <w:rPr>
                <w:rFonts w:ascii="Times New Roman" w:eastAsia="Calibri" w:hAnsi="Times New Roman" w:cs="Times New Roman"/>
                <w:color w:val="000000"/>
              </w:rPr>
            </w:pPr>
            <w:r w:rsidRPr="00F51140">
              <w:rPr>
                <w:rFonts w:ascii="Times New Roman" w:eastAsia="Calibri" w:hAnsi="Times New Roman" w:cs="Times New Roman"/>
                <w:color w:val="000000"/>
              </w:rPr>
              <w:t>деятельности и напрямую является гарантом продовольственной</w:t>
            </w:r>
          </w:p>
          <w:p w:rsidR="00F51140" w:rsidRPr="00F51140" w:rsidRDefault="00F51140" w:rsidP="00F51140">
            <w:pPr>
              <w:autoSpaceDE w:val="0"/>
              <w:autoSpaceDN w:val="0"/>
              <w:adjustRightInd w:val="0"/>
              <w:rPr>
                <w:rFonts w:ascii="Times New Roman" w:eastAsia="Calibri" w:hAnsi="Times New Roman" w:cs="Times New Roman"/>
                <w:color w:val="000000"/>
              </w:rPr>
            </w:pPr>
            <w:r w:rsidRPr="00F51140">
              <w:rPr>
                <w:rFonts w:ascii="Times New Roman" w:eastAsia="Calibri" w:hAnsi="Times New Roman" w:cs="Times New Roman"/>
                <w:color w:val="000000"/>
              </w:rPr>
              <w:t>безопасности необходимо предпринимать меры, направленные на дальнейшее развитие частного сектора, оказание мер поддержки местным</w:t>
            </w:r>
          </w:p>
          <w:p w:rsidR="00F51140" w:rsidRPr="00F51140" w:rsidRDefault="00F51140" w:rsidP="00F51140">
            <w:pPr>
              <w:autoSpaceDE w:val="0"/>
              <w:autoSpaceDN w:val="0"/>
              <w:adjustRightInd w:val="0"/>
              <w:rPr>
                <w:rFonts w:ascii="Times New Roman" w:eastAsia="Calibri" w:hAnsi="Times New Roman" w:cs="Times New Roman"/>
                <w:color w:val="000000"/>
              </w:rPr>
            </w:pPr>
            <w:r w:rsidRPr="00F51140">
              <w:rPr>
                <w:rFonts w:ascii="Times New Roman" w:eastAsia="Calibri" w:hAnsi="Times New Roman" w:cs="Times New Roman"/>
                <w:color w:val="000000"/>
              </w:rPr>
              <w:t>семеноводам.</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bCs/>
                <w:color w:val="000000"/>
                <w:lang w:bidi="ru-RU"/>
              </w:rPr>
            </w:pPr>
            <w:r w:rsidRPr="00F51140">
              <w:rPr>
                <w:rFonts w:ascii="Times New Roman" w:eastAsia="Calibri" w:hAnsi="Times New Roman" w:cs="Times New Roman"/>
                <w:bCs/>
                <w:color w:val="000000"/>
                <w:lang w:bidi="ru-RU"/>
              </w:rPr>
              <w:lastRenderedPageBreak/>
              <w:t>Доля организаций частной формы собственности на рынке семеноводства,</w:t>
            </w:r>
            <w:r w:rsidRPr="00F51140">
              <w:rPr>
                <w:rFonts w:ascii="Times New Roman" w:eastAsia="Calibri" w:hAnsi="Times New Roman" w:cs="Times New Roman"/>
                <w:bCs/>
                <w:color w:val="000000"/>
                <w:lang w:bidi="ru-RU"/>
              </w:rPr>
              <w:tab/>
            </w:r>
          </w:p>
          <w:p w:rsidR="00F51140" w:rsidRPr="00F51140" w:rsidRDefault="00F51140" w:rsidP="00F51140">
            <w:pPr>
              <w:autoSpaceDE w:val="0"/>
              <w:autoSpaceDN w:val="0"/>
              <w:adjustRightInd w:val="0"/>
              <w:jc w:val="center"/>
              <w:rPr>
                <w:rFonts w:ascii="Times New Roman" w:eastAsia="Calibri" w:hAnsi="Times New Roman" w:cs="Times New Roman"/>
                <w:color w:val="000000"/>
              </w:rPr>
            </w:pPr>
            <w:r w:rsidRPr="00F51140">
              <w:rPr>
                <w:rFonts w:ascii="Times New Roman" w:eastAsia="Calibri" w:hAnsi="Times New Roman" w:cs="Times New Roman"/>
                <w:bCs/>
                <w:color w:val="000000"/>
                <w:lang w:bidi="ru-RU"/>
              </w:rPr>
              <w:t>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rPr>
            </w:pPr>
            <w:r w:rsidRPr="00F51140">
              <w:rPr>
                <w:rFonts w:ascii="Times New Roman" w:eastAsia="Calibri" w:hAnsi="Times New Roman" w:cs="Times New Roman"/>
                <w:color w:val="000000"/>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16</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добычи</w:t>
            </w:r>
          </w:p>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общераспространенных полезных ископаемых на участках недр местного значения</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Согласно данным Единого реестра малого и среднего предпринимательства на территории района зарегистрировано 11 субъектов добычного сектора.</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является развитым, доля организаций частного сектора на рынке составляет 100%.</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Основной задачей по развитию конкуренции является обеспечение добросовестной конкуренции.</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добычи общераспространенных полезных ископаемых на участках недр местного значения,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17</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нефтепродуктов</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FF0000"/>
                <w:sz w:val="24"/>
                <w:szCs w:val="24"/>
              </w:rPr>
            </w:pPr>
            <w:r w:rsidRPr="00F51140">
              <w:rPr>
                <w:rFonts w:ascii="Times New Roman" w:eastAsia="Calibri" w:hAnsi="Times New Roman" w:cs="Times New Roman"/>
                <w:color w:val="000000"/>
                <w:sz w:val="24"/>
                <w:szCs w:val="24"/>
              </w:rPr>
              <w:t xml:space="preserve">Согласно данным Единого реестра малого и среднего предпринимательства на территории района зарегистрировано 2 организации частной формы собственности, </w:t>
            </w:r>
            <w:proofErr w:type="gramStart"/>
            <w:r w:rsidRPr="00F51140">
              <w:rPr>
                <w:rFonts w:ascii="Times New Roman" w:eastAsia="Calibri" w:hAnsi="Times New Roman" w:cs="Times New Roman"/>
                <w:color w:val="000000"/>
                <w:sz w:val="24"/>
                <w:szCs w:val="24"/>
              </w:rPr>
              <w:t>реализующих</w:t>
            </w:r>
            <w:proofErr w:type="gramEnd"/>
            <w:r w:rsidRPr="00F51140">
              <w:rPr>
                <w:rFonts w:ascii="Times New Roman" w:eastAsia="Calibri" w:hAnsi="Times New Roman" w:cs="Times New Roman"/>
                <w:color w:val="000000"/>
                <w:sz w:val="24"/>
                <w:szCs w:val="24"/>
              </w:rPr>
              <w:t xml:space="preserve"> торговлю нефтепродуктами. </w:t>
            </w:r>
          </w:p>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sz w:val="24"/>
                <w:szCs w:val="24"/>
              </w:rPr>
              <w:t>Основными операторами рынка нефтепродуктов в районе сетевые компании:</w:t>
            </w:r>
            <w:r w:rsidRPr="00F51140">
              <w:rPr>
                <w:rFonts w:ascii="Times New Roman" w:eastAsia="Calibri" w:hAnsi="Times New Roman" w:cs="Times New Roman"/>
                <w:color w:val="FF0000"/>
                <w:sz w:val="24"/>
                <w:szCs w:val="24"/>
              </w:rPr>
              <w:t xml:space="preserve"> </w:t>
            </w:r>
            <w:r w:rsidRPr="00F51140">
              <w:rPr>
                <w:rFonts w:ascii="Times New Roman" w:eastAsia="Calibri" w:hAnsi="Times New Roman" w:cs="Times New Roman"/>
                <w:sz w:val="24"/>
                <w:szCs w:val="24"/>
              </w:rPr>
              <w:t xml:space="preserve">ТНБ, Лукойл, </w:t>
            </w:r>
            <w:proofErr w:type="spellStart"/>
            <w:r w:rsidRPr="00F51140">
              <w:rPr>
                <w:rFonts w:ascii="Times New Roman" w:eastAsia="Calibri" w:hAnsi="Times New Roman" w:cs="Times New Roman"/>
                <w:sz w:val="24"/>
                <w:szCs w:val="24"/>
              </w:rPr>
              <w:t>Роксойл</w:t>
            </w:r>
            <w:proofErr w:type="spellEnd"/>
            <w:r w:rsidRPr="00F51140">
              <w:rPr>
                <w:rFonts w:ascii="Times New Roman" w:eastAsia="Calibri" w:hAnsi="Times New Roman" w:cs="Times New Roman"/>
                <w:sz w:val="24"/>
                <w:szCs w:val="24"/>
              </w:rPr>
              <w:t xml:space="preserve">, Газпром, Роснефть, </w:t>
            </w:r>
            <w:proofErr w:type="spellStart"/>
            <w:r w:rsidRPr="00F51140">
              <w:rPr>
                <w:rFonts w:ascii="Times New Roman" w:eastAsia="Calibri" w:hAnsi="Times New Roman" w:cs="Times New Roman"/>
                <w:sz w:val="24"/>
                <w:szCs w:val="24"/>
              </w:rPr>
              <w:t>Сибинтэк</w:t>
            </w:r>
            <w:proofErr w:type="spellEnd"/>
            <w:r w:rsidRPr="00F51140">
              <w:rPr>
                <w:rFonts w:ascii="Times New Roman" w:eastAsia="Calibri" w:hAnsi="Times New Roman" w:cs="Times New Roman"/>
                <w:sz w:val="24"/>
                <w:szCs w:val="24"/>
              </w:rPr>
              <w:t>,</w:t>
            </w:r>
          </w:p>
          <w:p w:rsidR="00F51140" w:rsidRPr="00F51140" w:rsidRDefault="00F51140" w:rsidP="00F51140">
            <w:pPr>
              <w:autoSpaceDE w:val="0"/>
              <w:autoSpaceDN w:val="0"/>
              <w:adjustRightInd w:val="0"/>
              <w:rPr>
                <w:rFonts w:ascii="Times New Roman" w:eastAsia="Calibri" w:hAnsi="Times New Roman" w:cs="Times New Roman"/>
                <w:sz w:val="24"/>
                <w:szCs w:val="24"/>
              </w:rPr>
            </w:pPr>
            <w:proofErr w:type="spellStart"/>
            <w:r w:rsidRPr="00F51140">
              <w:rPr>
                <w:rFonts w:ascii="Times New Roman" w:eastAsia="Calibri" w:hAnsi="Times New Roman" w:cs="Times New Roman"/>
                <w:sz w:val="24"/>
                <w:szCs w:val="24"/>
              </w:rPr>
              <w:t>Сибирнефть</w:t>
            </w:r>
            <w:proofErr w:type="spellEnd"/>
            <w:r w:rsidRPr="00F51140">
              <w:rPr>
                <w:rFonts w:ascii="Times New Roman" w:eastAsia="Calibri" w:hAnsi="Times New Roman" w:cs="Times New Roman"/>
                <w:sz w:val="24"/>
                <w:szCs w:val="24"/>
              </w:rPr>
              <w:t>.</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xml:space="preserve">С точки зрения развития состояния конкурентной среды рынок является развитым. Доля организаций частного сектора на рынке </w:t>
            </w:r>
            <w:r w:rsidRPr="00F51140">
              <w:rPr>
                <w:rFonts w:ascii="Times New Roman" w:eastAsia="Calibri" w:hAnsi="Times New Roman" w:cs="Times New Roman"/>
                <w:color w:val="000000"/>
                <w:sz w:val="24"/>
                <w:szCs w:val="24"/>
              </w:rPr>
              <w:lastRenderedPageBreak/>
              <w:t>нефтепродуктов составляет 100%.</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Доля организаций частной формы собственности на рынке нефтепродуктов,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lastRenderedPageBreak/>
              <w:t>18</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легкой промышленности</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Согласно данным единого реестра малого и среднего предпринимательства на территории района зарегистрировано 3 организации отрасли легкой промышленности. Доля организаций частного сектора на рынке легкой промышленности составляет 100%, государственные и муниципальные предприятия отсутствуют.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Факторы, влияющие на развитие конкуренции: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техническая и технологическая отсталость легкой промышленности.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Задачи по развитию конкуренции: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содействие в продвижении товаров хозяйствующих субъектов в сфере легкой промышленности на рынки;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привлечение частных инвестиций в сферу легкой промышленности.</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легкой промышленности,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19</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Рынок обработки древесины и производства изделий из дерева</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частного сектора на рынке составляет 100%, государственные и муниципальные предприятия отсутствуют.</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Факторы, влияющие на развитие конкуренции: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техническая и технологическая отсталость от зарубежных стран, выражаемая в высокой энергоемкости и трудоемкости производства, увеличении цен на сырье.</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Задачи по развитию конкуренции:</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содействие в продвижении товаров хозяйствующих субъектов;</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 привлечение частных инвестиций.</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обработки древесины и производства изделий из дерева,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r w:rsidR="00F51140" w:rsidRPr="00F51140" w:rsidTr="001C4403">
        <w:tc>
          <w:tcPr>
            <w:tcW w:w="650"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20</w:t>
            </w:r>
          </w:p>
        </w:tc>
        <w:tc>
          <w:tcPr>
            <w:tcW w:w="2435"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Сфера наружной рекламы</w:t>
            </w:r>
          </w:p>
        </w:tc>
        <w:tc>
          <w:tcPr>
            <w:tcW w:w="7229" w:type="dxa"/>
          </w:tcPr>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color w:val="000000"/>
                <w:sz w:val="24"/>
                <w:szCs w:val="24"/>
              </w:rPr>
              <w:t xml:space="preserve">Количество хозяйствующих субъектов, осуществляющих </w:t>
            </w:r>
            <w:r w:rsidRPr="00F51140">
              <w:rPr>
                <w:rFonts w:ascii="Times New Roman" w:eastAsia="Calibri" w:hAnsi="Times New Roman" w:cs="Times New Roman"/>
                <w:sz w:val="24"/>
                <w:szCs w:val="24"/>
              </w:rPr>
              <w:t>деятельность на рынке, составляет 3 ед. (владельцы законных отдельно стоящих рекламных конструкций).</w:t>
            </w:r>
          </w:p>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sz w:val="24"/>
                <w:szCs w:val="24"/>
              </w:rPr>
              <w:t>Рынок характеризуется развитым уровнем конкуренции.</w:t>
            </w:r>
          </w:p>
          <w:p w:rsidR="00F51140" w:rsidRPr="00F51140" w:rsidRDefault="00F51140" w:rsidP="00F51140">
            <w:pPr>
              <w:autoSpaceDE w:val="0"/>
              <w:autoSpaceDN w:val="0"/>
              <w:adjustRightInd w:val="0"/>
              <w:rPr>
                <w:rFonts w:ascii="Times New Roman" w:eastAsia="Calibri" w:hAnsi="Times New Roman" w:cs="Times New Roman"/>
                <w:sz w:val="24"/>
                <w:szCs w:val="24"/>
              </w:rPr>
            </w:pPr>
            <w:r w:rsidRPr="00F51140">
              <w:rPr>
                <w:rFonts w:ascii="Times New Roman" w:eastAsia="Calibri" w:hAnsi="Times New Roman" w:cs="Times New Roman"/>
                <w:sz w:val="24"/>
                <w:szCs w:val="24"/>
              </w:rPr>
              <w:t xml:space="preserve">Доля частных хозяйствующих субъектов составляет 100%, так как государственные и муниципальные субъекты хозяйствования в данной сфере отсутствуют. </w:t>
            </w:r>
          </w:p>
          <w:p w:rsidR="00F51140" w:rsidRPr="00F51140" w:rsidRDefault="00F51140" w:rsidP="00F51140">
            <w:pPr>
              <w:autoSpaceDE w:val="0"/>
              <w:autoSpaceDN w:val="0"/>
              <w:adjustRightInd w:val="0"/>
              <w:rPr>
                <w:rFonts w:ascii="Times New Roman" w:eastAsia="Calibri" w:hAnsi="Times New Roman" w:cs="Times New Roman"/>
                <w:color w:val="000000"/>
                <w:sz w:val="24"/>
                <w:szCs w:val="24"/>
              </w:rPr>
            </w:pPr>
            <w:r w:rsidRPr="00F51140">
              <w:rPr>
                <w:rFonts w:ascii="Times New Roman" w:eastAsia="Calibri" w:hAnsi="Times New Roman" w:cs="Times New Roman"/>
                <w:sz w:val="24"/>
                <w:szCs w:val="24"/>
              </w:rPr>
              <w:t>Основной задачей на рынке является обеспечение честной конкуренции.</w:t>
            </w:r>
          </w:p>
        </w:tc>
        <w:tc>
          <w:tcPr>
            <w:tcW w:w="255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Доля организаций частной формы собственности в сфере наружной рекламы, процентов</w:t>
            </w:r>
          </w:p>
        </w:tc>
        <w:tc>
          <w:tcPr>
            <w:tcW w:w="2062" w:type="dxa"/>
          </w:tcPr>
          <w:p w:rsidR="00F51140" w:rsidRPr="00F51140" w:rsidRDefault="00F51140" w:rsidP="00F51140">
            <w:pPr>
              <w:autoSpaceDE w:val="0"/>
              <w:autoSpaceDN w:val="0"/>
              <w:adjustRightInd w:val="0"/>
              <w:jc w:val="center"/>
              <w:rPr>
                <w:rFonts w:ascii="Times New Roman" w:eastAsia="Calibri" w:hAnsi="Times New Roman" w:cs="Times New Roman"/>
                <w:color w:val="000000"/>
                <w:sz w:val="24"/>
                <w:szCs w:val="24"/>
              </w:rPr>
            </w:pPr>
            <w:r w:rsidRPr="00F51140">
              <w:rPr>
                <w:rFonts w:ascii="Times New Roman" w:eastAsia="Calibri" w:hAnsi="Times New Roman" w:cs="Times New Roman"/>
                <w:color w:val="000000"/>
                <w:sz w:val="24"/>
                <w:szCs w:val="24"/>
              </w:rPr>
              <w:t>100</w:t>
            </w:r>
          </w:p>
        </w:tc>
      </w:tr>
    </w:tbl>
    <w:p w:rsidR="00F51140" w:rsidRPr="00F51140" w:rsidRDefault="00F51140" w:rsidP="00F51140">
      <w:pPr>
        <w:spacing w:after="0" w:line="240" w:lineRule="auto"/>
        <w:ind w:left="709"/>
        <w:jc w:val="center"/>
        <w:rPr>
          <w:rFonts w:ascii="PT Astra Serif" w:eastAsia="Calibri" w:hAnsi="PT Astra Serif" w:cs="Times New Roman"/>
          <w:b/>
          <w:sz w:val="28"/>
          <w:szCs w:val="28"/>
        </w:rPr>
      </w:pPr>
    </w:p>
    <w:p w:rsidR="00F51140" w:rsidRPr="00F51140" w:rsidRDefault="00F51140" w:rsidP="00F51140">
      <w:pPr>
        <w:spacing w:after="0" w:line="240" w:lineRule="auto"/>
        <w:ind w:left="709"/>
        <w:jc w:val="center"/>
        <w:rPr>
          <w:rFonts w:ascii="PT Astra Serif" w:eastAsia="Calibri" w:hAnsi="PT Astra Serif" w:cs="Times New Roman"/>
          <w:b/>
          <w:sz w:val="28"/>
          <w:szCs w:val="28"/>
        </w:rPr>
      </w:pPr>
      <w:r w:rsidRPr="00F51140">
        <w:rPr>
          <w:rFonts w:ascii="PT Astra Serif" w:eastAsia="Calibri" w:hAnsi="PT Astra Serif" w:cs="Times New Roman"/>
          <w:b/>
          <w:sz w:val="28"/>
          <w:szCs w:val="28"/>
        </w:rPr>
        <w:t>Пояснительная записка</w:t>
      </w:r>
    </w:p>
    <w:p w:rsidR="00F51140" w:rsidRPr="00F51140" w:rsidRDefault="00F51140" w:rsidP="00F51140">
      <w:pPr>
        <w:spacing w:after="0" w:line="240" w:lineRule="auto"/>
        <w:ind w:left="709"/>
        <w:jc w:val="center"/>
        <w:rPr>
          <w:rFonts w:ascii="PT Astra Serif" w:eastAsia="Calibri" w:hAnsi="PT Astra Serif" w:cs="Times New Roman"/>
          <w:b/>
          <w:sz w:val="28"/>
          <w:szCs w:val="28"/>
        </w:rPr>
      </w:pP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Во исполнение Указа Президента РФ «Об основных направлениях государственной политики по развитию конкуренции» от 21.12.2017 №618, положений Стандарта развития конкуренции в субъектах Российской Федерации, утвержденного распоряжением Правительства Российской Федерации от 17.04.2019  № 768-р органы местного самоуправления оказывают содействие органам исполнительной власти Тульской области при реализации ими стандарта в  целях:</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 установления системного и единообразного подхода к осуществлению деятельности по развитию конкуренции между хозяйствующими субъектами в отраслях экономики;</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 содействия формированию прозрачной системы реализации результативных и эффективных мер по развитию конкуренции в интересах потребителей товаров, работ и услуг, в том числе субъектов предпринимательской деятельности, граждан и общества;</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 выявления потенциала развития экономики;</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 создания стимулов и содействия формированию условий для развития, поддержки и защиты субъектов малого и среднего предпринимательства, а также содействия устранению административных барьеров.</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Для достижения вышеуказанных задач уполномоченным органом по содействию развитию конкуренции (комитет по экономике, инвестициям и развитию АПК администрации муниципального образования Веневский район) разработан проект перечня товарных рынков по содействию развитию конкуренции в муниципальном образовании Веневский район с описанием текущей ситуации и  установлением ключевых показателей к 2022 году.</w:t>
      </w:r>
    </w:p>
    <w:p w:rsidR="00F51140" w:rsidRPr="00F51140" w:rsidRDefault="00F51140" w:rsidP="00F51140">
      <w:pPr>
        <w:spacing w:after="0" w:line="240" w:lineRule="auto"/>
        <w:ind w:left="709" w:firstLine="992"/>
        <w:jc w:val="both"/>
        <w:rPr>
          <w:rFonts w:ascii="PT Astra Serif" w:eastAsia="Calibri" w:hAnsi="PT Astra Serif" w:cs="Times New Roman"/>
          <w:sz w:val="28"/>
          <w:szCs w:val="28"/>
        </w:rPr>
      </w:pPr>
      <w:r w:rsidRPr="00F51140">
        <w:rPr>
          <w:rFonts w:ascii="PT Astra Serif" w:eastAsia="Calibri" w:hAnsi="PT Astra Serif" w:cs="Times New Roman"/>
          <w:sz w:val="28"/>
          <w:szCs w:val="28"/>
        </w:rPr>
        <w:t>Публичные консультации проводятся с целью обеспечения возможности предоставления замечаний</w:t>
      </w:r>
      <w:r w:rsidRPr="00F51140">
        <w:rPr>
          <w:rFonts w:ascii="Calibri" w:eastAsia="Times New Roman" w:hAnsi="Calibri" w:cs="Calibri"/>
          <w:szCs w:val="20"/>
          <w:lang w:eastAsia="ru-RU"/>
        </w:rPr>
        <w:t xml:space="preserve"> </w:t>
      </w:r>
      <w:r w:rsidRPr="00F51140">
        <w:rPr>
          <w:rFonts w:ascii="PT Astra Serif" w:eastAsia="Calibri" w:hAnsi="PT Astra Serif" w:cs="Times New Roman"/>
          <w:sz w:val="28"/>
          <w:szCs w:val="28"/>
        </w:rPr>
        <w:t>и предложений по проекту перечня субъектами предпринимательской деятельности, потребителями товаров, работ и услуг и общественными организациями, представляющими интересы потребителей.</w:t>
      </w: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Default="00F51140" w:rsidP="00F51140">
      <w:pPr>
        <w:spacing w:after="0" w:line="240" w:lineRule="auto"/>
        <w:jc w:val="both"/>
        <w:rPr>
          <w:rFonts w:ascii="Times New Roman" w:hAnsi="Times New Roman" w:cs="Times New Roman"/>
          <w:sz w:val="28"/>
          <w:szCs w:val="28"/>
        </w:rPr>
      </w:pPr>
    </w:p>
    <w:p w:rsidR="00F51140" w:rsidRPr="00F51140" w:rsidRDefault="00F51140" w:rsidP="00F51140">
      <w:pPr>
        <w:spacing w:after="0" w:line="240" w:lineRule="auto"/>
        <w:jc w:val="both"/>
        <w:rPr>
          <w:rFonts w:ascii="Times New Roman" w:hAnsi="Times New Roman" w:cs="Times New Roman"/>
          <w:sz w:val="28"/>
          <w:szCs w:val="28"/>
        </w:rPr>
      </w:pPr>
    </w:p>
    <w:sectPr w:rsidR="00F51140" w:rsidRPr="00F51140" w:rsidSect="00F51140">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T Astra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A1DD4"/>
    <w:multiLevelType w:val="hybridMultilevel"/>
    <w:tmpl w:val="F092D2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93C"/>
    <w:rsid w:val="0011071A"/>
    <w:rsid w:val="001F1101"/>
    <w:rsid w:val="002C6CB6"/>
    <w:rsid w:val="00332B85"/>
    <w:rsid w:val="00334706"/>
    <w:rsid w:val="003C1CF2"/>
    <w:rsid w:val="00416640"/>
    <w:rsid w:val="00421215"/>
    <w:rsid w:val="0052476E"/>
    <w:rsid w:val="00557CB4"/>
    <w:rsid w:val="00573037"/>
    <w:rsid w:val="0086493C"/>
    <w:rsid w:val="0095153F"/>
    <w:rsid w:val="0099622C"/>
    <w:rsid w:val="009C2360"/>
    <w:rsid w:val="00A22BD5"/>
    <w:rsid w:val="00B43D6B"/>
    <w:rsid w:val="00B925CF"/>
    <w:rsid w:val="00C03742"/>
    <w:rsid w:val="00CC401C"/>
    <w:rsid w:val="00CD7241"/>
    <w:rsid w:val="00E7101D"/>
    <w:rsid w:val="00EA0AAA"/>
    <w:rsid w:val="00F51140"/>
    <w:rsid w:val="00FB1016"/>
    <w:rsid w:val="00FE1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53F"/>
    <w:rPr>
      <w:color w:val="0000FF" w:themeColor="hyperlink"/>
      <w:u w:val="single"/>
    </w:rPr>
  </w:style>
  <w:style w:type="paragraph" w:styleId="a4">
    <w:name w:val="List Paragraph"/>
    <w:basedOn w:val="a"/>
    <w:uiPriority w:val="34"/>
    <w:qFormat/>
    <w:rsid w:val="00F51140"/>
    <w:pPr>
      <w:ind w:left="720"/>
      <w:contextualSpacing/>
    </w:pPr>
  </w:style>
  <w:style w:type="table" w:customStyle="1" w:styleId="1">
    <w:name w:val="Сетка таблицы1"/>
    <w:basedOn w:val="a1"/>
    <w:next w:val="a5"/>
    <w:uiPriority w:val="59"/>
    <w:rsid w:val="00F511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153F"/>
    <w:rPr>
      <w:color w:val="0000FF" w:themeColor="hyperlink"/>
      <w:u w:val="single"/>
    </w:rPr>
  </w:style>
  <w:style w:type="paragraph" w:styleId="a4">
    <w:name w:val="List Paragraph"/>
    <w:basedOn w:val="a"/>
    <w:uiPriority w:val="34"/>
    <w:qFormat/>
    <w:rsid w:val="00F51140"/>
    <w:pPr>
      <w:ind w:left="720"/>
      <w:contextualSpacing/>
    </w:pPr>
  </w:style>
  <w:style w:type="table" w:customStyle="1" w:styleId="1">
    <w:name w:val="Сетка таблицы1"/>
    <w:basedOn w:val="a1"/>
    <w:next w:val="a5"/>
    <w:uiPriority w:val="59"/>
    <w:rsid w:val="00F5114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5">
    <w:name w:val="Table Grid"/>
    <w:basedOn w:val="a1"/>
    <w:uiPriority w:val="59"/>
    <w:rsid w:val="00F5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1F6D3EAB732E8293AF311D04C5141E827227B58A6E114686D2D16AE9884EC9312A945303B8305719E06A67V5V9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enev.tularegion.ru/documents/?SECTION=16273&amp;SECTION_CHILD=publichnye-konsultatsii&amp;YEAR=null&amp;TYPE_FILE=nul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3636</Words>
  <Characters>20727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2019-08-06T15:12:00Z</dcterms:created>
  <dcterms:modified xsi:type="dcterms:W3CDTF">2019-08-06T16:12:00Z</dcterms:modified>
</cp:coreProperties>
</file>