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 xml:space="preserve">Приказ Минтруда России № 344н от 31 мая 2018 г. </w:t>
      </w:r>
    </w:p>
    <w:p>
      <w:pPr>
        <w:pStyle w:val="Heading2"/>
        <w:rPr/>
      </w:pPr>
      <w:r>
        <w:rPr/>
        <w:t>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w:br/>
        <w:t>(зарегистрирован в Минюсте России, регистрационный № 52409 от 11 октября 2018 г.)</w:t>
      </w:r>
    </w:p>
    <w:p>
      <w:pPr>
        <w:pStyle w:val="TextBody"/>
        <w:rPr/>
      </w:pPr>
      <w:r>
        <w:rPr/>
        <w:t>В целях методического обеспечения проведения независимой оценки качества условий оказания услуг организациями социальной сферы и в соответствии с частью 2 статьи 12 Федерального закона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(Собрание законодательства Российской Федерации, 2017, № 50, ст. 7563)</w:t>
      </w:r>
    </w:p>
    <w:p>
      <w:pPr>
        <w:pStyle w:val="TextBody"/>
        <w:rPr/>
      </w:pPr>
      <w:r>
        <w:rPr/>
        <w:t>п р и к а з ы в а ю:</w:t>
      </w:r>
    </w:p>
    <w:p>
      <w:pPr>
        <w:pStyle w:val="TextBody"/>
        <w:rPr/>
      </w:pPr>
      <w:r>
        <w:rPr/>
        <w:t>Утвердить прилагаемый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>
      <w:pPr>
        <w:pStyle w:val="TextBody"/>
        <w:rPr/>
      </w:pPr>
      <w:r>
        <w:rPr>
          <w:rStyle w:val="StrongEmphasis"/>
        </w:rPr>
        <w:t>Министр</w:t>
      </w:r>
    </w:p>
    <w:p>
      <w:pPr>
        <w:pStyle w:val="TextBody"/>
        <w:spacing w:before="0" w:after="283"/>
        <w:rPr/>
      </w:pPr>
      <w:r>
        <w:rPr>
          <w:rStyle w:val="StrongEmphasis"/>
        </w:rPr>
        <w:t>М.А.Топилин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