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0F" w:rsidRPr="00B95D0F" w:rsidRDefault="00B95D0F" w:rsidP="00B95D0F">
      <w:pPr>
        <w:shd w:val="clear" w:color="auto" w:fill="FFFFFF"/>
        <w:spacing w:before="161" w:after="690" w:line="870" w:lineRule="atLeast"/>
        <w:outlineLvl w:val="0"/>
        <w:rPr>
          <w:rFonts w:ascii="Arial" w:eastAsia="Times New Roman" w:hAnsi="Arial" w:cs="Arial"/>
          <w:color w:val="333333"/>
          <w:kern w:val="36"/>
          <w:sz w:val="66"/>
          <w:szCs w:val="66"/>
          <w:lang w:eastAsia="ru-RU"/>
        </w:rPr>
      </w:pPr>
      <w:r w:rsidRPr="00B95D0F">
        <w:rPr>
          <w:rFonts w:ascii="Arial" w:eastAsia="Times New Roman" w:hAnsi="Arial" w:cs="Arial"/>
          <w:color w:val="333333"/>
          <w:kern w:val="36"/>
          <w:sz w:val="66"/>
          <w:szCs w:val="66"/>
          <w:lang w:eastAsia="ru-RU"/>
        </w:rPr>
        <w:t>Меры государственной поддержки</w:t>
      </w:r>
    </w:p>
    <w:tbl>
      <w:tblPr>
        <w:tblW w:w="0" w:type="auto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2474"/>
        <w:gridCol w:w="2482"/>
        <w:gridCol w:w="2475"/>
        <w:gridCol w:w="2592"/>
      </w:tblGrid>
      <w:tr w:rsidR="00B95D0F" w:rsidRPr="00B95D0F" w:rsidTr="00B95D0F">
        <w:tc>
          <w:tcPr>
            <w:tcW w:w="1551" w:type="dxa"/>
            <w:shd w:val="clear" w:color="auto" w:fill="F5F6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5D0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B95D0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5F6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 и описание мер господдержки</w:t>
            </w:r>
          </w:p>
        </w:tc>
        <w:tc>
          <w:tcPr>
            <w:tcW w:w="0" w:type="auto"/>
            <w:shd w:val="clear" w:color="auto" w:fill="F5F6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Категория получателей господдержки</w:t>
            </w:r>
          </w:p>
        </w:tc>
        <w:tc>
          <w:tcPr>
            <w:tcW w:w="0" w:type="auto"/>
            <w:shd w:val="clear" w:color="auto" w:fill="F5F6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Реквизиты и название НПА/ законодательного акта, регламентирующего получение господдержки</w:t>
            </w:r>
          </w:p>
        </w:tc>
        <w:tc>
          <w:tcPr>
            <w:tcW w:w="0" w:type="auto"/>
            <w:shd w:val="clear" w:color="auto" w:fill="F5F6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Условия получения господдержки</w:t>
            </w:r>
          </w:p>
        </w:tc>
      </w:tr>
      <w:tr w:rsidR="00B95D0F" w:rsidRPr="00B95D0F" w:rsidTr="00B95D0F">
        <w:tc>
          <w:tcPr>
            <w:tcW w:w="1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Льготная программа кредитования СМСП «Программа 6,5»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Субъекты малого и среднего предпринимательства (далее – СМСП)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«Программа 6,5» реализуется акционерным обществом «Федеральная корпорация по развитию малого и среднего предпринимательства» совместно с уполномоченными банками, комитет Тульской области по предпринимательству и потребительскому рынку информирует СМСП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Ставки по кредитам от 9,6% годовых, минимальная сумма кредита от 10 млн. рублей, срок льготного фондирования до 3-х лет</w:t>
            </w:r>
          </w:p>
        </w:tc>
      </w:tr>
      <w:tr w:rsidR="00B95D0F" w:rsidRPr="00B95D0F" w:rsidTr="00B95D0F">
        <w:tc>
          <w:tcPr>
            <w:tcW w:w="1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Центр поддержки экспорта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СМСП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Адрес: г. Тула, ул. Жаворонкова, 2, 2 этаж, каб.4 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Контактная информация: 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Тел.: (4872) 25-98-34 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E-</w:t>
            </w:r>
            <w:proofErr w:type="spellStart"/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mail</w:t>
            </w:r>
            <w:proofErr w:type="spellEnd"/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ric@hub71.ru 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hyperlink r:id="rId5" w:tgtFrame="_blank" w:history="1">
              <w:r w:rsidRPr="00B95D0F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lang w:eastAsia="ru-RU"/>
                </w:rPr>
                <w:t>www.ric-tula.ru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Центр поддержки экспорта на бесплатной основе оказывает следующие услуги: 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- проведение 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маркетинговых исследований иностранных рынков для СМСП; 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консультационные услуги с привлечением сторонних профильных экспертов по тематике внешнеэкономической деятельности; 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создание на иностранном языке или модернизация существующих сайтов экспортно ориентированных СМСП; 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организация и проведение международных и межрегиональных бизнес-миссий; 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организация и проведение конференций, форумов, семинаров, круглых столов, мастер-классов;</w:t>
            </w:r>
            <w:proofErr w:type="gramEnd"/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- организация и проведение </w:t>
            </w:r>
            <w:proofErr w:type="spellStart"/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выставочно</w:t>
            </w:r>
            <w:proofErr w:type="spellEnd"/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-ярмарочных и </w:t>
            </w:r>
            <w:proofErr w:type="spellStart"/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конгрессных</w:t>
            </w:r>
            <w:proofErr w:type="spellEnd"/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мероприятий</w:t>
            </w:r>
          </w:p>
        </w:tc>
      </w:tr>
      <w:tr w:rsidR="00B95D0F" w:rsidRPr="00B95D0F" w:rsidTr="00B95D0F">
        <w:tc>
          <w:tcPr>
            <w:tcW w:w="1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Льготное 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налогообложение при осуществлении инвестиционной деятельности (в соответствии с Законом Тульской области от 06.02.2010 № 1390-ЗТО)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Организация, 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осуществившая инвестиции в форме капитальных вложений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Закон Тульской 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области от 06.02.2010 №1390-ЗТО «О льготном налогообложение при осуществлении инвестиционной деятельности в форме капитальных вложений на территории Тульской области»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Льготы 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предоставляются: 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- организациям, осуществившим капитальные вложения свыше 100 </w:t>
            </w:r>
            <w:proofErr w:type="gramStart"/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млн</w:t>
            </w:r>
            <w:proofErr w:type="gramEnd"/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рублей, в виде снижение ставки налога на прибыль до 15,5 % и налога на имущество до 0 % в зависимости от отношения стоимости введенных основных средств к остаточной стоимости основных средств на балансе организации; 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- пониженные налоговые ставки </w:t>
            </w:r>
            <w:proofErr w:type="gramStart"/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применяются налогоплательщиками начиная</w:t>
            </w:r>
            <w:proofErr w:type="gramEnd"/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налогового периода, следующего за налоговым периодом, в котором был осуществлен ввод в эксплуатацию объекта (объектов) недвижимого имущества, в течение срока окупаемости инвестиционного проекта, но не более четырех налоговых периодов, 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следующих непрерывно.</w:t>
            </w:r>
          </w:p>
        </w:tc>
      </w:tr>
      <w:tr w:rsidR="00B95D0F" w:rsidRPr="00B95D0F" w:rsidTr="00B95D0F">
        <w:tc>
          <w:tcPr>
            <w:tcW w:w="1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Льготное налогообложение в соответствии с Законом Тульской области № 33-ЗТО от 27.04.2017 «О льготном налогообложении налогоплательщиков-участников специальных инвестиционных контрактов»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Юридическое лицо или индивидуальный предприниматель, принимающий на себя обязательства создать либо модернизировать и (или) освоить производство промышленной продукции на территории Тульской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Постановление правительства Тульской области № 58 от 17.02.2017 «Об установлении Порядка заключения специальных инвестиционных контрактов в Тульской области». 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Закон Тульской области №33-ЗТО от 27.04.2017 «О льготном налогообложении налогоплательщиков-участников специальных инвестиционных контрактов».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минимальный объем инвестиций - 750 </w:t>
            </w:r>
            <w:proofErr w:type="gramStart"/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млн</w:t>
            </w:r>
            <w:proofErr w:type="gramEnd"/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руб.; 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создание не менее 30 рабочих мест. 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Срок действия равен сроку выхода проекта на операционную прибыль плюс пять лет (но не более 10 лет).</w:t>
            </w:r>
          </w:p>
        </w:tc>
      </w:tr>
      <w:tr w:rsidR="00B95D0F" w:rsidRPr="00B95D0F" w:rsidTr="00B95D0F">
        <w:tc>
          <w:tcPr>
            <w:tcW w:w="1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Субсидии </w:t>
            </w:r>
            <w:proofErr w:type="gramStart"/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 бюджета Тульской области на возмещение затрат на уплату процентов по кредитам для проведения</w:t>
            </w:r>
            <w:proofErr w:type="gramEnd"/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технологического перевооружения и освоения новой конкурентоспособной продукции предприятиями промышленного комплекса Тульской 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области.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Юридические лица с численностью персонала свыше 200 человек, </w:t>
            </w:r>
            <w:proofErr w:type="gramStart"/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зарегистрированным</w:t>
            </w:r>
            <w:proofErr w:type="gramEnd"/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уплачивающим налоги на территории Тульской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Постановление правительства Тульской области от 24.07.2013 № 367 «Об утверждении Порядка предоставления субсидий из бюджета Тульской области на возмещение затрат на уплату процентов по кредитам для проведения технологического 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перевооружения и освоения новой конкурентоспособной продукции предприятиями промышленного комплекса Тульской области»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Субсидии из бюджета Тульской области предоставляются по кредитным договорам с кредитными организациями (банками), в размере, определенном из расчета 100% учетной ставки Центрального банка Российской Федерации, действующей на 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день вступления в силу закона Тульской области о бюджете Тульской области на соответствующий финансовый год и плановый период. Кредитные договоры должны быть заключены в рублях с кредитной организацией (банком), имеющей лицензию Центрального банка Российской Федерации. Подробные условия получения субсидий изложены в указанном нормативно-правовом акте</w:t>
            </w:r>
          </w:p>
        </w:tc>
      </w:tr>
      <w:tr w:rsidR="00B95D0F" w:rsidRPr="00B95D0F" w:rsidTr="00B95D0F">
        <w:tc>
          <w:tcPr>
            <w:tcW w:w="1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Бюджетные ассигнования инвестиционного фонда Тульской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Органы муниципальных районов (городских округов), на территории которых реализуются инвестиционные проекты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Постановление правительства Тульской области от 18.12.13 №759 «Об утверждении Порядка формирования и использования бюджетных ассигнований инвестиционного фонда Тульской области»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Доля финансирование проекта за счет инвестора: 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1) От 50 </w:t>
            </w:r>
            <w:proofErr w:type="gramStart"/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млн</w:t>
            </w:r>
            <w:proofErr w:type="gramEnd"/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руб. - не менее 80%. 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2) От 500 млн руб. - не менее 50%. 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3) От 5 млрд руб. - не менее 25%.</w:t>
            </w:r>
          </w:p>
        </w:tc>
      </w:tr>
      <w:tr w:rsidR="00B95D0F" w:rsidRPr="00B95D0F" w:rsidTr="00B95D0F">
        <w:tc>
          <w:tcPr>
            <w:tcW w:w="1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Субсидии из 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бюджета Тульской области организациям, осуществившим инвестиции в форме капитальных вложений на территории Тульской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Организации, 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осуществившие инвестиции в форме капитальных вложений на территории Тульской области (за исключением государственных и муниципальных учреждений)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Постановление 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правительства Тульской области от 16.07.13 №354 «Об утверждении правил предоставления субсидий из бюджета Тульской области организациям, осуществившим инвестиции в форме капитальных вложений на территории Тульской области»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Для получения 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субсидии капиталоемкость проектов: 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1) в сфере сельского хозяйства – не менее 500 млн. руб.; 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2) в сфере промышленного производства - не менее 1 млрд. руб.; 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3) прочих отраслей - не менее 3 млрд. руб. 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Максимальный срок предоставления субсидии – не более 4 лет.</w:t>
            </w:r>
          </w:p>
        </w:tc>
      </w:tr>
      <w:tr w:rsidR="00B95D0F" w:rsidRPr="00B95D0F" w:rsidTr="00B95D0F">
        <w:tc>
          <w:tcPr>
            <w:tcW w:w="1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Сельскохозяйственные товаропроизводители Тульской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Постановление правительства Тульской области от 22.02.2017 № 73 «Об утверждении правил предоставления субсидий на оказание несвязанной поддержки </w:t>
            </w:r>
            <w:proofErr w:type="gramStart"/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сельскохозяйственным</w:t>
            </w:r>
            <w:proofErr w:type="gramEnd"/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товапроизводителям</w:t>
            </w:r>
            <w:proofErr w:type="spellEnd"/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области растениеводства»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Наличие у сельскохозяйственных товаропроизводителей Тульской области посевных площадей, занятых зерновыми, зернобобовыми и кормовыми сельскохозяйственными культурами, а также семенным картофелем и (или) семенными посевами кукурузы для производства семян родительских форм гибридов и гибридов первого 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поколения F1, и (или) семенными посевами подсолнечника для производства семян родительских форм гибридов и гибридов первого поколения F1, а также оригинальных и элитных семян, и (или) семенными</w:t>
            </w:r>
            <w:proofErr w:type="gramEnd"/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посевами сахарной свеклы для производства семян родительских форм гибридов и гибридов первого поколения F1, и (или) овощами открытого грунта, и (или) маточниками овощных культур открытого грунта, и (или) семенниками овощных культур открытого грунта.</w:t>
            </w:r>
          </w:p>
        </w:tc>
      </w:tr>
      <w:tr w:rsidR="00B95D0F" w:rsidRPr="00B95D0F" w:rsidTr="00B95D0F">
        <w:tc>
          <w:tcPr>
            <w:tcW w:w="1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Возмещение части затрат на 1 килограмм реализованного и (или) отгруженного на собственную переработку коровьего молока и (или) козьего молока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Сельскохозяйственные товаропроизводители Тульской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Постановление правительства Тульской области от 22.02.2017 № 71 «Об утверждении правил предоставления субсидий на повышение продуктивности в 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молочном скотоводстве»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1. Наличие у сельскохозяйственных товаропроизводителей поголовья коров и (или) коз на 1-е число месяца их обращения в министерство сельского 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хозяйства Тульской области за получением средств субсидии. 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2. Обеспечение сохранности поголовья коров в отчетном финансовом году по отношению к уровню года, предшествующего отчетному финансовому году, 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году.</w:t>
            </w:r>
          </w:p>
        </w:tc>
      </w:tr>
      <w:tr w:rsidR="00B95D0F" w:rsidRPr="00B95D0F" w:rsidTr="00B95D0F">
        <w:tc>
          <w:tcPr>
            <w:tcW w:w="1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Предоставление грантов правительства Тульской области в сфере науки и техники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Организации, осуществляющие хозяйственную деятельность на территории Тульской области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Постановление правительства Тульской области от 19.06.2012 № 265 «О грантах правительства Тульской области в сфере науки и техники»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Гранты присуждаются в 3-х номинациях: 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инновационные проекты (предельный размер гранта – 250 000 руб.); 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научно-исследовательские проекты (предельный размер гранта – 100 000 руб.); 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- подготовка и издание научных трудов, оформление 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заявок на получение патента на изобретение, организация и проведение научных конференций и семинаров (предельный размер гранта – 50 000 руб.).</w:t>
            </w:r>
          </w:p>
        </w:tc>
      </w:tr>
      <w:tr w:rsidR="00B95D0F" w:rsidRPr="00B95D0F" w:rsidTr="00B95D0F">
        <w:tc>
          <w:tcPr>
            <w:tcW w:w="1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Предоставление премий Тульской области в сфере науки и техники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Ученые, специалисты и изобретатели на территории Тульской области, осуществляющие выдающиеся научные достижения и </w:t>
            </w:r>
            <w:proofErr w:type="gramStart"/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важнейших</w:t>
            </w:r>
            <w:proofErr w:type="gramEnd"/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наукоемкие разработки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Закон Тульской области от 05.01.2003 № 362-ЗТО «Об учреждении премий Тульской области в сфере науки и техники»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D0F" w:rsidRPr="00B95D0F" w:rsidRDefault="00B95D0F" w:rsidP="00B9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Ежегодно присуждаются: 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премии имени Б.С. Стечкина – за значительный вклад в развитие естественных и технических наук, разработку и внедрение технологий, техники и материалов; 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- премия имени К.Д. Ушинского – за значительный вклад в развитие гуманитарных наук. </w:t>
            </w:r>
            <w:r w:rsidRPr="00B95D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Размер каждой премии составляет 200 тыс. рублей.</w:t>
            </w:r>
          </w:p>
        </w:tc>
      </w:tr>
    </w:tbl>
    <w:p w:rsidR="00E21FDE" w:rsidRDefault="00E21FDE"/>
    <w:sectPr w:rsidR="00E21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36A"/>
    <w:rsid w:val="0026336A"/>
    <w:rsid w:val="00B95D0F"/>
    <w:rsid w:val="00E2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ic-tul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1398</Words>
  <Characters>7969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2019-10-18T07:29:00Z</dcterms:created>
  <dcterms:modified xsi:type="dcterms:W3CDTF">2019-10-18T07:30:00Z</dcterms:modified>
</cp:coreProperties>
</file>