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4E" w:rsidRDefault="0083154E">
      <w:pPr>
        <w:pStyle w:val="ConsPlusTitlePage"/>
      </w:pPr>
      <w:r>
        <w:t xml:space="preserve">Документ предоставлен </w:t>
      </w:r>
      <w:hyperlink r:id="rId4" w:history="1">
        <w:r>
          <w:rPr>
            <w:color w:val="0000FF"/>
          </w:rPr>
          <w:t>КонсультантПлюс</w:t>
        </w:r>
      </w:hyperlink>
      <w:r>
        <w:br/>
      </w:r>
    </w:p>
    <w:p w:rsidR="0083154E" w:rsidRDefault="0083154E">
      <w:pPr>
        <w:pStyle w:val="ConsPlusNormal"/>
        <w:jc w:val="both"/>
        <w:outlineLvl w:val="0"/>
      </w:pPr>
    </w:p>
    <w:p w:rsidR="0083154E" w:rsidRDefault="0083154E">
      <w:pPr>
        <w:pStyle w:val="ConsPlusTitle"/>
        <w:jc w:val="center"/>
        <w:outlineLvl w:val="0"/>
      </w:pPr>
      <w:r>
        <w:t>КОМИТЕТ ТУЛЬСКОЙ ОБЛАСТИ</w:t>
      </w:r>
    </w:p>
    <w:p w:rsidR="0083154E" w:rsidRDefault="0083154E">
      <w:pPr>
        <w:pStyle w:val="ConsPlusTitle"/>
        <w:jc w:val="center"/>
      </w:pPr>
      <w:r>
        <w:t>ПО ПРЕДПРИНИМАТЕЛЬСТВУ И ПОТРЕБИТЕЛЬСКОМУ РЫНКУ</w:t>
      </w:r>
    </w:p>
    <w:p w:rsidR="0083154E" w:rsidRDefault="0083154E">
      <w:pPr>
        <w:pStyle w:val="ConsPlusTitle"/>
        <w:jc w:val="center"/>
      </w:pPr>
    </w:p>
    <w:p w:rsidR="0083154E" w:rsidRDefault="0083154E">
      <w:pPr>
        <w:pStyle w:val="ConsPlusTitle"/>
        <w:jc w:val="center"/>
      </w:pPr>
      <w:r>
        <w:t>ПРИКАЗ</w:t>
      </w:r>
    </w:p>
    <w:p w:rsidR="0083154E" w:rsidRDefault="0083154E">
      <w:pPr>
        <w:pStyle w:val="ConsPlusTitle"/>
        <w:jc w:val="center"/>
      </w:pPr>
      <w:r>
        <w:t>от 17 февраля 2012 г. N 6</w:t>
      </w:r>
    </w:p>
    <w:p w:rsidR="0083154E" w:rsidRDefault="0083154E">
      <w:pPr>
        <w:pStyle w:val="ConsPlusTitle"/>
        <w:jc w:val="center"/>
      </w:pPr>
    </w:p>
    <w:p w:rsidR="0083154E" w:rsidRDefault="0083154E">
      <w:pPr>
        <w:pStyle w:val="ConsPlusTitle"/>
        <w:jc w:val="center"/>
      </w:pPr>
      <w:r>
        <w:t>О ПОРЯДКЕ РАЗРАБОТКИ И УТВЕРЖДЕНИЯ ОРГАНОМ МЕСТНОГО</w:t>
      </w:r>
    </w:p>
    <w:p w:rsidR="0083154E" w:rsidRDefault="0083154E">
      <w:pPr>
        <w:pStyle w:val="ConsPlusTitle"/>
        <w:jc w:val="center"/>
      </w:pPr>
      <w:r>
        <w:t>САМОУПРАВЛЕНИЯ МУНИЦИПАЛЬНОГО ОБРАЗОВАНИЯ ТУЛЬСКОЙ</w:t>
      </w:r>
    </w:p>
    <w:p w:rsidR="0083154E" w:rsidRDefault="0083154E">
      <w:pPr>
        <w:pStyle w:val="ConsPlusTitle"/>
        <w:jc w:val="center"/>
      </w:pPr>
      <w:r>
        <w:t>ОБЛАСТИ СХЕМЫ РАЗМЕЩЕНИЯ НЕСТАЦИОНАРНЫХ ТОРГОВЫХ ОБЪЕКТОВ</w:t>
      </w:r>
    </w:p>
    <w:p w:rsidR="0083154E" w:rsidRDefault="008315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154E">
        <w:trPr>
          <w:jc w:val="center"/>
        </w:trPr>
        <w:tc>
          <w:tcPr>
            <w:tcW w:w="9294" w:type="dxa"/>
            <w:tcBorders>
              <w:top w:val="nil"/>
              <w:left w:val="single" w:sz="24" w:space="0" w:color="CED3F1"/>
              <w:bottom w:val="nil"/>
              <w:right w:val="single" w:sz="24" w:space="0" w:color="F4F3F8"/>
            </w:tcBorders>
            <w:shd w:val="clear" w:color="auto" w:fill="F4F3F8"/>
          </w:tcPr>
          <w:p w:rsidR="0083154E" w:rsidRDefault="0083154E">
            <w:pPr>
              <w:pStyle w:val="ConsPlusNormal"/>
              <w:jc w:val="center"/>
            </w:pPr>
            <w:r>
              <w:rPr>
                <w:color w:val="392C69"/>
              </w:rPr>
              <w:t>Список изменяющих документов</w:t>
            </w:r>
          </w:p>
          <w:p w:rsidR="0083154E" w:rsidRDefault="0083154E">
            <w:pPr>
              <w:pStyle w:val="ConsPlusNormal"/>
              <w:jc w:val="center"/>
            </w:pPr>
            <w:r>
              <w:rPr>
                <w:color w:val="392C69"/>
              </w:rPr>
              <w:t>(в ред. приказов комитета Тульской области по</w:t>
            </w:r>
          </w:p>
          <w:p w:rsidR="0083154E" w:rsidRDefault="0083154E">
            <w:pPr>
              <w:pStyle w:val="ConsPlusNormal"/>
              <w:jc w:val="center"/>
            </w:pPr>
            <w:r>
              <w:rPr>
                <w:color w:val="392C69"/>
              </w:rPr>
              <w:t>предпринимательству и потребительскому рынку</w:t>
            </w:r>
          </w:p>
          <w:p w:rsidR="0083154E" w:rsidRDefault="0083154E">
            <w:pPr>
              <w:pStyle w:val="ConsPlusNormal"/>
              <w:jc w:val="center"/>
            </w:pPr>
            <w:r>
              <w:rPr>
                <w:color w:val="392C69"/>
              </w:rPr>
              <w:t xml:space="preserve">от 07.09.2012 </w:t>
            </w:r>
            <w:hyperlink r:id="rId5" w:history="1">
              <w:r>
                <w:rPr>
                  <w:color w:val="0000FF"/>
                </w:rPr>
                <w:t>N 39</w:t>
              </w:r>
            </w:hyperlink>
            <w:r>
              <w:rPr>
                <w:color w:val="392C69"/>
              </w:rPr>
              <w:t xml:space="preserve">, от 13.06.2013 </w:t>
            </w:r>
            <w:hyperlink r:id="rId6" w:history="1">
              <w:r>
                <w:rPr>
                  <w:color w:val="0000FF"/>
                </w:rPr>
                <w:t>N 31</w:t>
              </w:r>
            </w:hyperlink>
            <w:r>
              <w:rPr>
                <w:color w:val="392C69"/>
              </w:rPr>
              <w:t>,</w:t>
            </w:r>
          </w:p>
          <w:p w:rsidR="0083154E" w:rsidRDefault="0083154E">
            <w:pPr>
              <w:pStyle w:val="ConsPlusNormal"/>
              <w:jc w:val="center"/>
            </w:pPr>
            <w:r>
              <w:rPr>
                <w:color w:val="392C69"/>
              </w:rPr>
              <w:t xml:space="preserve">от 09.09.2013 </w:t>
            </w:r>
            <w:hyperlink r:id="rId7" w:history="1">
              <w:r>
                <w:rPr>
                  <w:color w:val="0000FF"/>
                </w:rPr>
                <w:t>N 54</w:t>
              </w:r>
            </w:hyperlink>
            <w:r>
              <w:rPr>
                <w:color w:val="392C69"/>
              </w:rPr>
              <w:t xml:space="preserve">, от 12.11.2013 </w:t>
            </w:r>
            <w:hyperlink r:id="rId8" w:history="1">
              <w:r>
                <w:rPr>
                  <w:color w:val="0000FF"/>
                </w:rPr>
                <w:t>N 73</w:t>
              </w:r>
            </w:hyperlink>
            <w:r>
              <w:rPr>
                <w:color w:val="392C69"/>
              </w:rPr>
              <w:t xml:space="preserve">, от 30.12.2015 </w:t>
            </w:r>
            <w:hyperlink r:id="rId9" w:history="1">
              <w:r>
                <w:rPr>
                  <w:color w:val="0000FF"/>
                </w:rPr>
                <w:t>N 73</w:t>
              </w:r>
            </w:hyperlink>
            <w:r>
              <w:rPr>
                <w:color w:val="392C69"/>
              </w:rPr>
              <w:t>,</w:t>
            </w:r>
          </w:p>
          <w:p w:rsidR="0083154E" w:rsidRDefault="0083154E">
            <w:pPr>
              <w:pStyle w:val="ConsPlusNormal"/>
              <w:jc w:val="center"/>
            </w:pPr>
            <w:r>
              <w:rPr>
                <w:color w:val="392C69"/>
              </w:rPr>
              <w:t xml:space="preserve">от 25.04.2016 </w:t>
            </w:r>
            <w:hyperlink r:id="rId10" w:history="1">
              <w:r>
                <w:rPr>
                  <w:color w:val="0000FF"/>
                </w:rPr>
                <w:t>N 7</w:t>
              </w:r>
            </w:hyperlink>
            <w:r>
              <w:rPr>
                <w:color w:val="392C69"/>
              </w:rPr>
              <w:t>)</w:t>
            </w:r>
          </w:p>
        </w:tc>
      </w:tr>
    </w:tbl>
    <w:p w:rsidR="0083154E" w:rsidRDefault="0083154E">
      <w:pPr>
        <w:pStyle w:val="ConsPlusNormal"/>
        <w:jc w:val="both"/>
      </w:pPr>
    </w:p>
    <w:p w:rsidR="0083154E" w:rsidRDefault="0083154E">
      <w:pPr>
        <w:pStyle w:val="ConsPlusNormal"/>
        <w:ind w:firstLine="540"/>
        <w:jc w:val="both"/>
      </w:pPr>
      <w:r>
        <w:t xml:space="preserve">В соответствии со </w:t>
      </w:r>
      <w:hyperlink r:id="rId11" w:history="1">
        <w:r>
          <w:rPr>
            <w:color w:val="0000FF"/>
          </w:rPr>
          <w:t>статьей 10</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w:t>
      </w:r>
      <w:hyperlink r:id="rId12" w:history="1">
        <w:r>
          <w:rPr>
            <w:color w:val="0000FF"/>
          </w:rPr>
          <w:t>Законом</w:t>
        </w:r>
      </w:hyperlink>
      <w:r>
        <w:t xml:space="preserve"> Тульской области от 30 апреля 2010 года N 1443-ЗТО "О разграничении полномочий органов государственной власти Тульской области в сфере государственного регулирования торговой деятельности", </w:t>
      </w:r>
      <w:hyperlink r:id="rId13" w:history="1">
        <w:r>
          <w:rPr>
            <w:color w:val="0000FF"/>
          </w:rPr>
          <w:t>Постановлением</w:t>
        </w:r>
      </w:hyperlink>
      <w:r>
        <w:t xml:space="preserve"> администрации Тульской области от 02.07.2010 N 606 "Об определении органа исполнительной власти Тульской области, уполномоченного в сфере регулирования отношений, связанных с организацией и осуществлением торговой деятельности на территории Тульской области" приказываю:</w:t>
      </w:r>
    </w:p>
    <w:p w:rsidR="0083154E" w:rsidRDefault="0083154E">
      <w:pPr>
        <w:pStyle w:val="ConsPlusNormal"/>
        <w:spacing w:before="220"/>
        <w:ind w:firstLine="540"/>
        <w:jc w:val="both"/>
      </w:pPr>
      <w:r>
        <w:t xml:space="preserve">1. Утвердить </w:t>
      </w:r>
      <w:hyperlink w:anchor="P41" w:history="1">
        <w:r>
          <w:rPr>
            <w:color w:val="0000FF"/>
          </w:rPr>
          <w:t>порядок</w:t>
        </w:r>
      </w:hyperlink>
      <w:r>
        <w:t xml:space="preserve">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(приложение).</w:t>
      </w:r>
    </w:p>
    <w:p w:rsidR="0083154E" w:rsidRDefault="0083154E">
      <w:pPr>
        <w:pStyle w:val="ConsPlusNormal"/>
        <w:jc w:val="both"/>
      </w:pPr>
      <w:r>
        <w:t xml:space="preserve">(п. 1 в ред. </w:t>
      </w:r>
      <w:hyperlink r:id="rId14" w:history="1">
        <w:r>
          <w:rPr>
            <w:color w:val="0000FF"/>
          </w:rPr>
          <w:t>приказа</w:t>
        </w:r>
      </w:hyperlink>
      <w:r>
        <w:t xml:space="preserve"> комитета Тульской области по предпринимательству и потребительскому рынку от 12.11.2013 N 73)</w:t>
      </w:r>
    </w:p>
    <w:p w:rsidR="0083154E" w:rsidRDefault="0083154E">
      <w:pPr>
        <w:pStyle w:val="ConsPlusNormal"/>
        <w:spacing w:before="220"/>
        <w:ind w:firstLine="540"/>
        <w:jc w:val="both"/>
      </w:pPr>
      <w:r>
        <w:t>2. Рекомендовать органам местного самоуправления муниципальных образований Тульской области в течение 10 дней после опубликования в установленном для официального опубликования муниципальных правовых актов порядке представлять в комитет Тульской области по предпринимательству и потребительскому рынку схему размещения нестационарных торговых объектов, а также вносимые в нее изменения.</w:t>
      </w:r>
    </w:p>
    <w:p w:rsidR="0083154E" w:rsidRDefault="0083154E">
      <w:pPr>
        <w:pStyle w:val="ConsPlusNormal"/>
        <w:jc w:val="both"/>
      </w:pPr>
      <w:r>
        <w:t xml:space="preserve">(п. 2 введен </w:t>
      </w:r>
      <w:hyperlink r:id="rId15" w:history="1">
        <w:r>
          <w:rPr>
            <w:color w:val="0000FF"/>
          </w:rPr>
          <w:t>приказом</w:t>
        </w:r>
      </w:hyperlink>
      <w:r>
        <w:t xml:space="preserve"> комитета Тульской области по предпринимательству и потребительскому рынку от 12.11.2013 N 73)</w:t>
      </w:r>
    </w:p>
    <w:p w:rsidR="0083154E" w:rsidRDefault="0083154E">
      <w:pPr>
        <w:pStyle w:val="ConsPlusNormal"/>
        <w:spacing w:before="220"/>
        <w:ind w:firstLine="540"/>
        <w:jc w:val="both"/>
      </w:pPr>
      <w:hyperlink r:id="rId16" w:history="1">
        <w:r>
          <w:rPr>
            <w:color w:val="0000FF"/>
          </w:rPr>
          <w:t>3</w:t>
        </w:r>
      </w:hyperlink>
      <w:r>
        <w:t xml:space="preserve">. Исключен. - </w:t>
      </w:r>
      <w:hyperlink r:id="rId17" w:history="1">
        <w:r>
          <w:rPr>
            <w:color w:val="0000FF"/>
          </w:rPr>
          <w:t>приказ</w:t>
        </w:r>
      </w:hyperlink>
      <w:r>
        <w:t xml:space="preserve"> комитета Тульской области по предпринимательству и потребительскому рынку от 30.12.2015 N 73.</w:t>
      </w:r>
    </w:p>
    <w:p w:rsidR="0083154E" w:rsidRDefault="0083154E">
      <w:pPr>
        <w:pStyle w:val="ConsPlusNormal"/>
        <w:spacing w:before="220"/>
        <w:ind w:firstLine="540"/>
        <w:jc w:val="both"/>
      </w:pPr>
      <w:hyperlink r:id="rId18" w:history="1">
        <w:r>
          <w:rPr>
            <w:color w:val="0000FF"/>
          </w:rPr>
          <w:t>3</w:t>
        </w:r>
      </w:hyperlink>
      <w:r>
        <w:t>. Признать утратившими силу:</w:t>
      </w:r>
    </w:p>
    <w:p w:rsidR="0083154E" w:rsidRDefault="0083154E">
      <w:pPr>
        <w:pStyle w:val="ConsPlusNormal"/>
        <w:spacing w:before="220"/>
        <w:ind w:firstLine="540"/>
        <w:jc w:val="both"/>
      </w:pPr>
      <w:r>
        <w:t>приказ департамента предпринимательства и потребительского рынка Тульской области от 04.08.2010 N 25 "О порядке разработки и утверждения органом местного самоуправления схемы размещения нестационарных торговых объектов";</w:t>
      </w:r>
    </w:p>
    <w:p w:rsidR="0083154E" w:rsidRDefault="0083154E">
      <w:pPr>
        <w:pStyle w:val="ConsPlusNormal"/>
        <w:spacing w:before="220"/>
        <w:ind w:firstLine="540"/>
        <w:jc w:val="both"/>
      </w:pPr>
      <w:r>
        <w:t xml:space="preserve">приказ департамента предпринимательства и потребительского рынка Тульской области от 11.07.2011 N 23 "О внесении изменения в приказ департамента предпринимательства и </w:t>
      </w:r>
      <w:r>
        <w:lastRenderedPageBreak/>
        <w:t>потребительского рынка Тульской области от 04.08.2010 N 25 "О порядке разработки и утверждения органом местного самоуправления схемы размещения нестационарных торговых объектов".</w:t>
      </w:r>
    </w:p>
    <w:p w:rsidR="0083154E" w:rsidRDefault="0083154E">
      <w:pPr>
        <w:pStyle w:val="ConsPlusNormal"/>
        <w:spacing w:before="220"/>
        <w:ind w:firstLine="540"/>
        <w:jc w:val="both"/>
      </w:pPr>
      <w:hyperlink r:id="rId19" w:history="1">
        <w:r>
          <w:rPr>
            <w:color w:val="0000FF"/>
          </w:rPr>
          <w:t>4</w:t>
        </w:r>
      </w:hyperlink>
      <w:r>
        <w:t>. Контроль за исполнением настоящего приказа оставляю за собой.</w:t>
      </w:r>
    </w:p>
    <w:p w:rsidR="0083154E" w:rsidRDefault="0083154E">
      <w:pPr>
        <w:pStyle w:val="ConsPlusNormal"/>
        <w:jc w:val="both"/>
      </w:pPr>
    </w:p>
    <w:p w:rsidR="0083154E" w:rsidRDefault="0083154E">
      <w:pPr>
        <w:pStyle w:val="ConsPlusNormal"/>
        <w:jc w:val="right"/>
      </w:pPr>
      <w:r>
        <w:t>Председатель комитета</w:t>
      </w:r>
    </w:p>
    <w:p w:rsidR="0083154E" w:rsidRDefault="0083154E">
      <w:pPr>
        <w:pStyle w:val="ConsPlusNormal"/>
        <w:jc w:val="right"/>
      </w:pPr>
      <w:r>
        <w:t>В.В.ПЕЧУРЧИК</w:t>
      </w:r>
    </w:p>
    <w:p w:rsidR="0083154E" w:rsidRDefault="0083154E">
      <w:pPr>
        <w:pStyle w:val="ConsPlusNormal"/>
        <w:jc w:val="both"/>
      </w:pPr>
    </w:p>
    <w:p w:rsidR="0083154E" w:rsidRDefault="0083154E">
      <w:pPr>
        <w:pStyle w:val="ConsPlusNormal"/>
        <w:jc w:val="both"/>
      </w:pPr>
    </w:p>
    <w:p w:rsidR="0083154E" w:rsidRDefault="0083154E">
      <w:pPr>
        <w:pStyle w:val="ConsPlusNormal"/>
        <w:jc w:val="both"/>
      </w:pPr>
    </w:p>
    <w:p w:rsidR="0083154E" w:rsidRDefault="0083154E">
      <w:pPr>
        <w:pStyle w:val="ConsPlusNormal"/>
        <w:jc w:val="both"/>
      </w:pPr>
    </w:p>
    <w:p w:rsidR="0083154E" w:rsidRDefault="0083154E">
      <w:pPr>
        <w:pStyle w:val="ConsPlusNormal"/>
        <w:jc w:val="both"/>
      </w:pPr>
    </w:p>
    <w:p w:rsidR="0083154E" w:rsidRDefault="0083154E">
      <w:pPr>
        <w:pStyle w:val="ConsPlusNormal"/>
        <w:jc w:val="right"/>
        <w:outlineLvl w:val="0"/>
      </w:pPr>
      <w:r>
        <w:t>Приложение</w:t>
      </w:r>
    </w:p>
    <w:p w:rsidR="0083154E" w:rsidRDefault="0083154E">
      <w:pPr>
        <w:pStyle w:val="ConsPlusNormal"/>
        <w:jc w:val="right"/>
      </w:pPr>
      <w:r>
        <w:t>к приказу комитета Тульской области</w:t>
      </w:r>
    </w:p>
    <w:p w:rsidR="0083154E" w:rsidRDefault="0083154E">
      <w:pPr>
        <w:pStyle w:val="ConsPlusNormal"/>
        <w:jc w:val="right"/>
      </w:pPr>
      <w:r>
        <w:t>по предпринимательству</w:t>
      </w:r>
    </w:p>
    <w:p w:rsidR="0083154E" w:rsidRDefault="0083154E">
      <w:pPr>
        <w:pStyle w:val="ConsPlusNormal"/>
        <w:jc w:val="right"/>
      </w:pPr>
      <w:r>
        <w:t>и потребительскому рынку</w:t>
      </w:r>
    </w:p>
    <w:p w:rsidR="0083154E" w:rsidRDefault="0083154E">
      <w:pPr>
        <w:pStyle w:val="ConsPlusNormal"/>
        <w:jc w:val="right"/>
      </w:pPr>
      <w:r>
        <w:t>от 17.02.2012 N 6</w:t>
      </w:r>
    </w:p>
    <w:p w:rsidR="0083154E" w:rsidRDefault="0083154E">
      <w:pPr>
        <w:pStyle w:val="ConsPlusNormal"/>
        <w:jc w:val="both"/>
      </w:pPr>
    </w:p>
    <w:p w:rsidR="0083154E" w:rsidRDefault="0083154E">
      <w:pPr>
        <w:pStyle w:val="ConsPlusTitle"/>
        <w:jc w:val="center"/>
      </w:pPr>
      <w:bookmarkStart w:id="0" w:name="P41"/>
      <w:bookmarkEnd w:id="0"/>
      <w:r>
        <w:t>ПОРЯДОК</w:t>
      </w:r>
    </w:p>
    <w:p w:rsidR="0083154E" w:rsidRDefault="0083154E">
      <w:pPr>
        <w:pStyle w:val="ConsPlusTitle"/>
        <w:jc w:val="center"/>
      </w:pPr>
      <w:r>
        <w:t>РАЗРАБОТКИ И УТВЕРЖДЕНИЯ ОРГАНОМ МЕСТНОГО САМОУПРАВЛЕНИЯ</w:t>
      </w:r>
    </w:p>
    <w:p w:rsidR="0083154E" w:rsidRDefault="0083154E">
      <w:pPr>
        <w:pStyle w:val="ConsPlusTitle"/>
        <w:jc w:val="center"/>
      </w:pPr>
      <w:r>
        <w:t>МУНИЦИПАЛЬНОГО ОБРАЗОВАНИЯ ТУЛЬСКОЙ ОБЛАСТИ СХЕМЫ РАЗМЕЩЕНИЯ</w:t>
      </w:r>
    </w:p>
    <w:p w:rsidR="0083154E" w:rsidRDefault="0083154E">
      <w:pPr>
        <w:pStyle w:val="ConsPlusTitle"/>
        <w:jc w:val="center"/>
      </w:pPr>
      <w:r>
        <w:t>НЕСТАЦИОНАРНЫХ ТОРГОВЫХ ОБЪЕКТОВ</w:t>
      </w:r>
    </w:p>
    <w:p w:rsidR="0083154E" w:rsidRDefault="008315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154E">
        <w:trPr>
          <w:jc w:val="center"/>
        </w:trPr>
        <w:tc>
          <w:tcPr>
            <w:tcW w:w="9294" w:type="dxa"/>
            <w:tcBorders>
              <w:top w:val="nil"/>
              <w:left w:val="single" w:sz="24" w:space="0" w:color="CED3F1"/>
              <w:bottom w:val="nil"/>
              <w:right w:val="single" w:sz="24" w:space="0" w:color="F4F3F8"/>
            </w:tcBorders>
            <w:shd w:val="clear" w:color="auto" w:fill="F4F3F8"/>
          </w:tcPr>
          <w:p w:rsidR="0083154E" w:rsidRDefault="0083154E">
            <w:pPr>
              <w:pStyle w:val="ConsPlusNormal"/>
              <w:jc w:val="center"/>
            </w:pPr>
            <w:r>
              <w:rPr>
                <w:color w:val="392C69"/>
              </w:rPr>
              <w:t>Список изменяющих документов</w:t>
            </w:r>
          </w:p>
          <w:p w:rsidR="0083154E" w:rsidRDefault="0083154E">
            <w:pPr>
              <w:pStyle w:val="ConsPlusNormal"/>
              <w:jc w:val="center"/>
            </w:pPr>
            <w:r>
              <w:rPr>
                <w:color w:val="392C69"/>
              </w:rPr>
              <w:t>(в ред. приказов комитета Тульской области</w:t>
            </w:r>
          </w:p>
          <w:p w:rsidR="0083154E" w:rsidRDefault="0083154E">
            <w:pPr>
              <w:pStyle w:val="ConsPlusNormal"/>
              <w:jc w:val="center"/>
            </w:pPr>
            <w:r>
              <w:rPr>
                <w:color w:val="392C69"/>
              </w:rPr>
              <w:t>по предпринимательству и потребительскому рынку</w:t>
            </w:r>
          </w:p>
          <w:p w:rsidR="0083154E" w:rsidRDefault="0083154E">
            <w:pPr>
              <w:pStyle w:val="ConsPlusNormal"/>
              <w:jc w:val="center"/>
            </w:pPr>
            <w:r>
              <w:rPr>
                <w:color w:val="392C69"/>
              </w:rPr>
              <w:t xml:space="preserve">от 30.12.2015 </w:t>
            </w:r>
            <w:hyperlink r:id="rId20" w:history="1">
              <w:r>
                <w:rPr>
                  <w:color w:val="0000FF"/>
                </w:rPr>
                <w:t>N 73</w:t>
              </w:r>
            </w:hyperlink>
            <w:r>
              <w:rPr>
                <w:color w:val="392C69"/>
              </w:rPr>
              <w:t xml:space="preserve">, от 25.04.2016 </w:t>
            </w:r>
            <w:hyperlink r:id="rId21" w:history="1">
              <w:r>
                <w:rPr>
                  <w:color w:val="0000FF"/>
                </w:rPr>
                <w:t>N 7</w:t>
              </w:r>
            </w:hyperlink>
            <w:r>
              <w:rPr>
                <w:color w:val="392C69"/>
              </w:rPr>
              <w:t>)</w:t>
            </w:r>
          </w:p>
        </w:tc>
      </w:tr>
    </w:tbl>
    <w:p w:rsidR="0083154E" w:rsidRDefault="0083154E">
      <w:pPr>
        <w:pStyle w:val="ConsPlusNormal"/>
        <w:jc w:val="both"/>
      </w:pPr>
    </w:p>
    <w:p w:rsidR="0083154E" w:rsidRDefault="0083154E">
      <w:pPr>
        <w:pStyle w:val="ConsPlusNormal"/>
        <w:ind w:firstLine="540"/>
        <w:jc w:val="both"/>
      </w:pPr>
      <w:r>
        <w:t>1. Настоящий порядок устанавливает процедуру разработки и утверждения органом местного самоуправления муниципального образования Тульской области, определенным в соответствии с уставом муниципального образования, схемы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(далее - схема размещения нестационарных торговых объектов).</w:t>
      </w:r>
    </w:p>
    <w:p w:rsidR="0083154E" w:rsidRDefault="0083154E">
      <w:pPr>
        <w:pStyle w:val="ConsPlusNormal"/>
        <w:spacing w:before="220"/>
        <w:ind w:firstLine="540"/>
        <w:jc w:val="both"/>
      </w:pPr>
      <w:r>
        <w:t>В случае размещения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Тула, органу местного самоуправления необходимо письменное согласие органа исполнительной власти Тульской области, уполномоченного на распоряжение такими участками.</w:t>
      </w:r>
    </w:p>
    <w:p w:rsidR="0083154E" w:rsidRDefault="0083154E">
      <w:pPr>
        <w:pStyle w:val="ConsPlusNormal"/>
        <w:spacing w:before="220"/>
        <w:ind w:firstLine="540"/>
        <w:jc w:val="both"/>
      </w:pPr>
      <w:r>
        <w:t>2. Требования настоящего приказа не распространяются на отношения, связанные с размещением нестационарных торговых объектов:</w:t>
      </w:r>
    </w:p>
    <w:p w:rsidR="0083154E" w:rsidRDefault="0083154E">
      <w:pPr>
        <w:pStyle w:val="ConsPlusNormal"/>
        <w:spacing w:before="220"/>
        <w:ind w:firstLine="540"/>
        <w:jc w:val="both"/>
      </w:pPr>
      <w:r>
        <w:t>на территории розничных рынков;</w:t>
      </w:r>
    </w:p>
    <w:p w:rsidR="0083154E" w:rsidRDefault="0083154E">
      <w:pPr>
        <w:pStyle w:val="ConsPlusNormal"/>
        <w:spacing w:before="220"/>
        <w:ind w:firstLine="540"/>
        <w:jc w:val="both"/>
      </w:pPr>
      <w:r>
        <w:t>при проведении праздничных, общественно-политических, культурных, спортивных мероприятий, носящих временный характер;</w:t>
      </w:r>
    </w:p>
    <w:p w:rsidR="0083154E" w:rsidRDefault="0083154E">
      <w:pPr>
        <w:pStyle w:val="ConsPlusNormal"/>
        <w:spacing w:before="220"/>
        <w:ind w:firstLine="540"/>
        <w:jc w:val="both"/>
      </w:pPr>
      <w:r>
        <w:t>при проведении ярмарок, выставок-ярмарок.</w:t>
      </w:r>
    </w:p>
    <w:p w:rsidR="0083154E" w:rsidRDefault="0083154E">
      <w:pPr>
        <w:pStyle w:val="ConsPlusNormal"/>
        <w:spacing w:before="220"/>
        <w:ind w:firstLine="540"/>
        <w:jc w:val="both"/>
      </w:pPr>
      <w:r>
        <w:t>3. К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w:t>
      </w:r>
      <w:r>
        <w:lastRenderedPageBreak/>
        <w:t>технического обеспечения, в том числе передвижные сооружения, а именно:</w:t>
      </w:r>
    </w:p>
    <w:p w:rsidR="0083154E" w:rsidRDefault="0083154E">
      <w:pPr>
        <w:pStyle w:val="ConsPlusNormal"/>
        <w:spacing w:before="220"/>
        <w:ind w:firstLine="540"/>
        <w:jc w:val="both"/>
      </w:pPr>
      <w:r>
        <w:t>1) павильон - строение, имеющее торговый зал и помещения для хранения товарного запаса, рассчитанное на одно или несколько рабочих мест;</w:t>
      </w:r>
    </w:p>
    <w:p w:rsidR="0083154E" w:rsidRDefault="0083154E">
      <w:pPr>
        <w:pStyle w:val="ConsPlusNormal"/>
        <w:spacing w:before="220"/>
        <w:ind w:firstLine="540"/>
        <w:jc w:val="both"/>
      </w:pPr>
      <w:r>
        <w:t>2)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3154E" w:rsidRDefault="0083154E">
      <w:pPr>
        <w:pStyle w:val="ConsPlusNormal"/>
        <w:spacing w:before="220"/>
        <w:ind w:firstLine="540"/>
        <w:jc w:val="both"/>
      </w:pPr>
      <w:r>
        <w:t>3) 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83154E" w:rsidRDefault="0083154E">
      <w:pPr>
        <w:pStyle w:val="ConsPlusNormal"/>
        <w:spacing w:before="220"/>
        <w:ind w:firstLine="540"/>
        <w:jc w:val="both"/>
      </w:pPr>
      <w:r>
        <w:t>4) торговый автомат - автоматическое устройство, предназначенное для продажи штучных товаров без участия продавца;</w:t>
      </w:r>
    </w:p>
    <w:p w:rsidR="0083154E" w:rsidRDefault="0083154E">
      <w:pPr>
        <w:pStyle w:val="ConsPlusNormal"/>
        <w:spacing w:before="220"/>
        <w:ind w:firstLine="540"/>
        <w:jc w:val="both"/>
      </w:pPr>
      <w:r>
        <w:t>5) бахчевой развал - специально оборудованная временная конструкция, представляющая собой площадку для продажи бахчевых культур;</w:t>
      </w:r>
    </w:p>
    <w:p w:rsidR="0083154E" w:rsidRDefault="0083154E">
      <w:pPr>
        <w:pStyle w:val="ConsPlusNormal"/>
        <w:spacing w:before="220"/>
        <w:ind w:firstLine="540"/>
        <w:jc w:val="both"/>
      </w:pPr>
      <w:r>
        <w:t>6) елочный базар - специально оборудованная временная конструкция, представляющая собой площадку для продажи натуральных елок, сосен;</w:t>
      </w:r>
    </w:p>
    <w:p w:rsidR="0083154E" w:rsidRDefault="0083154E">
      <w:pPr>
        <w:pStyle w:val="ConsPlusNormal"/>
        <w:spacing w:before="220"/>
        <w:ind w:firstLine="540"/>
        <w:jc w:val="both"/>
      </w:pPr>
      <w:r>
        <w:t>7) передвижной торговый объект: автомагазин, автолавка, автофургон, автоцистерна, тележка, лоток, корзина и иное специальное приспособление.</w:t>
      </w:r>
    </w:p>
    <w:p w:rsidR="0083154E" w:rsidRDefault="0083154E">
      <w:pPr>
        <w:pStyle w:val="ConsPlusNormal"/>
        <w:spacing w:before="220"/>
        <w:ind w:firstLine="540"/>
        <w:jc w:val="both"/>
      </w:pPr>
      <w:r>
        <w:t>4. Орган местного самоуправления муниципального образования Тульской области, определенный в соответствии с уставом муниципального образования, разрабатывает и формирует схему размещения нестационарных торговых объектов с учетом:</w:t>
      </w:r>
    </w:p>
    <w:p w:rsidR="0083154E" w:rsidRDefault="0083154E">
      <w:pPr>
        <w:pStyle w:val="ConsPlusNormal"/>
        <w:spacing w:before="220"/>
        <w:ind w:left="540"/>
        <w:jc w:val="both"/>
      </w:pPr>
      <w:r>
        <w:t>необходимости обеспечения устойчивого развития территорий;</w:t>
      </w:r>
    </w:p>
    <w:p w:rsidR="0083154E" w:rsidRDefault="0083154E">
      <w:pPr>
        <w:pStyle w:val="ConsPlusNormal"/>
        <w:spacing w:before="220"/>
        <w:ind w:firstLine="540"/>
        <w:jc w:val="both"/>
      </w:pPr>
      <w:r>
        <w:t>достижения установленных нормативов минимальной обеспеченности населения площадью торговых объектов;</w:t>
      </w:r>
    </w:p>
    <w:p w:rsidR="0083154E" w:rsidRDefault="0083154E">
      <w:pPr>
        <w:pStyle w:val="ConsPlusNormal"/>
        <w:spacing w:before="220"/>
        <w:ind w:left="540"/>
        <w:jc w:val="both"/>
      </w:pPr>
      <w:r>
        <w:t>существующего расположения нестационарных торговых объектов;</w:t>
      </w:r>
    </w:p>
    <w:p w:rsidR="0083154E" w:rsidRDefault="0083154E">
      <w:pPr>
        <w:pStyle w:val="ConsPlusNormal"/>
        <w:spacing w:before="220"/>
        <w:ind w:firstLine="540"/>
        <w:jc w:val="both"/>
      </w:pPr>
      <w:r>
        <w:t>заявлений юридических лиц и индивидуальных предпринимателей, имеющих намерения разместить нестационарные торговые объекты на территории муниципального образования.</w:t>
      </w:r>
    </w:p>
    <w:p w:rsidR="0083154E" w:rsidRDefault="0083154E">
      <w:pPr>
        <w:pStyle w:val="ConsPlusNormal"/>
        <w:spacing w:before="220"/>
        <w:ind w:firstLine="540"/>
        <w:jc w:val="both"/>
      </w:pPr>
      <w:r>
        <w:t>5. Включение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схему размещения нестационарных торговых объектов осуществляется в порядке, установленном Правительством Российской Федерации.</w:t>
      </w:r>
    </w:p>
    <w:p w:rsidR="0083154E" w:rsidRDefault="0083154E">
      <w:pPr>
        <w:pStyle w:val="ConsPlusNormal"/>
        <w:spacing w:before="220"/>
        <w:ind w:firstLine="540"/>
        <w:jc w:val="both"/>
      </w:pPr>
      <w:r>
        <w:t>6.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83154E" w:rsidRDefault="0083154E">
      <w:pPr>
        <w:pStyle w:val="ConsPlusNormal"/>
        <w:spacing w:before="220"/>
        <w:ind w:firstLine="540"/>
        <w:jc w:val="both"/>
      </w:pPr>
      <w:r>
        <w:t>7. Схемой размещения нестационарных торговых объектов должно предусматриваться размещение не менее чем 60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83154E" w:rsidRDefault="0083154E">
      <w:pPr>
        <w:pStyle w:val="ConsPlusNormal"/>
        <w:spacing w:before="220"/>
        <w:ind w:firstLine="540"/>
        <w:jc w:val="both"/>
      </w:pPr>
      <w:r>
        <w:t xml:space="preserve">8. Схема размещения нестационарных торговых объектов должна содержать тип нестационарного торгового объекта, сведения о его специализации, расположение и площадь </w:t>
      </w:r>
      <w:r>
        <w:lastRenderedPageBreak/>
        <w:t>нестационарного торгового объекта, период размещения (функционирования).</w:t>
      </w:r>
    </w:p>
    <w:p w:rsidR="0083154E" w:rsidRDefault="0083154E">
      <w:pPr>
        <w:pStyle w:val="ConsPlusNormal"/>
        <w:spacing w:before="220"/>
        <w:ind w:firstLine="540"/>
        <w:jc w:val="both"/>
      </w:pPr>
      <w:r>
        <w:t>9. Специализированный нестационарный торговый объект нестационарный торговый объект, в котором доля продажи товаров одной группы в общем объеме товарооборота составляет не менее 80 процентов.</w:t>
      </w:r>
    </w:p>
    <w:p w:rsidR="0083154E" w:rsidRDefault="0083154E">
      <w:pPr>
        <w:pStyle w:val="ConsPlusNormal"/>
        <w:spacing w:before="220"/>
        <w:ind w:firstLine="540"/>
        <w:jc w:val="both"/>
      </w:pPr>
      <w:r>
        <w:t>При продаже печатной продукции ее доля должна составлять не менее 50 процентов в общем объеме товарооборота.</w:t>
      </w:r>
    </w:p>
    <w:p w:rsidR="0083154E" w:rsidRDefault="0083154E">
      <w:pPr>
        <w:pStyle w:val="ConsPlusNormal"/>
        <w:spacing w:before="220"/>
        <w:ind w:firstLine="540"/>
        <w:jc w:val="both"/>
      </w:pPr>
      <w:r>
        <w:t>Специализация нестационарного торгового объекта указывается на его вывеске.</w:t>
      </w:r>
    </w:p>
    <w:p w:rsidR="0083154E" w:rsidRDefault="0083154E">
      <w:pPr>
        <w:pStyle w:val="ConsPlusNormal"/>
        <w:spacing w:before="220"/>
        <w:ind w:firstLine="540"/>
        <w:jc w:val="both"/>
      </w:pPr>
      <w:r>
        <w:t>10. Период функционирования нестационарного торгового объекта устанавливается в схеме размещения нестационарных торговых объектов для каждого указанного объекта с учетом его специализации.</w:t>
      </w:r>
    </w:p>
    <w:p w:rsidR="0083154E" w:rsidRDefault="0083154E">
      <w:pPr>
        <w:pStyle w:val="ConsPlusNormal"/>
        <w:spacing w:before="220"/>
        <w:ind w:firstLine="540"/>
        <w:jc w:val="both"/>
      </w:pPr>
      <w:r>
        <w:t>11. Орган местного самоуправления муниципального образования Тульской области самостоятельно определяет срок, на который утверждается схема размещения нестационарных торговых объектов.</w:t>
      </w:r>
    </w:p>
    <w:p w:rsidR="0083154E" w:rsidRDefault="0083154E">
      <w:pPr>
        <w:pStyle w:val="ConsPlusNormal"/>
        <w:spacing w:before="220"/>
        <w:ind w:firstLine="540"/>
        <w:jc w:val="both"/>
      </w:pPr>
      <w:r>
        <w:t>12. Разработанная схема размещения нестационарных торговых объектов утверждается муниципальным правовым актом.</w:t>
      </w:r>
    </w:p>
    <w:p w:rsidR="0083154E" w:rsidRDefault="0083154E">
      <w:pPr>
        <w:pStyle w:val="ConsPlusNormal"/>
        <w:spacing w:before="220"/>
        <w:ind w:firstLine="540"/>
        <w:jc w:val="both"/>
      </w:pPr>
      <w:r>
        <w:t>13. Изменения в схему размещения нестационарных торговых объектов вносятся на основании решения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Тульской области не более одного раза в три месяца.</w:t>
      </w:r>
    </w:p>
    <w:p w:rsidR="0083154E" w:rsidRDefault="0083154E">
      <w:pPr>
        <w:pStyle w:val="ConsPlusNormal"/>
        <w:spacing w:before="220"/>
        <w:ind w:firstLine="540"/>
        <w:jc w:val="both"/>
      </w:pPr>
      <w:r>
        <w:t>14. Комиссия по рассмотрению заявлений о внесении изменений в схему размещения нестационарных торговых объектов создается при органе местного самоуправления муниципального образования Тульской области, определенном в соответствии с уставом муниципального образования.</w:t>
      </w:r>
    </w:p>
    <w:p w:rsidR="0083154E" w:rsidRDefault="0083154E">
      <w:pPr>
        <w:pStyle w:val="ConsPlusNormal"/>
        <w:spacing w:before="220"/>
        <w:ind w:firstLine="540"/>
        <w:jc w:val="both"/>
      </w:pPr>
      <w:r>
        <w:t>15. Состав комиссии по рассмотрению заявлений о внесении изменений в схему размещения нестационарных торговых объектов и порядок ее работы утверждаются муниципальным правовым актом.</w:t>
      </w:r>
    </w:p>
    <w:p w:rsidR="0083154E" w:rsidRDefault="0083154E">
      <w:pPr>
        <w:pStyle w:val="ConsPlusNormal"/>
        <w:spacing w:before="220"/>
        <w:ind w:firstLine="540"/>
        <w:jc w:val="both"/>
      </w:pPr>
      <w:r>
        <w:t>16. Для рассмотрения вопроса о внесении изменений в схему размещения нестационарных торговых объектов заинтересованное лицо обращается в орган местного самоуправления муниципального образования Тульской области с заявлением.</w:t>
      </w:r>
    </w:p>
    <w:p w:rsidR="0083154E" w:rsidRDefault="0083154E">
      <w:pPr>
        <w:pStyle w:val="ConsPlusNormal"/>
        <w:spacing w:before="220"/>
        <w:ind w:firstLine="540"/>
        <w:jc w:val="both"/>
      </w:pPr>
      <w:r>
        <w:t>17. В течение 5 (пяти) рабочих дней после поступления заявления от заинтересованного лица орган местного самоуправления муниципального образования Тульской области направляет его для рассмотрения на заседании комиссии по рассмотрению заявлений о внесении изменений в схему размещения нестационарных торговых объектов.</w:t>
      </w:r>
    </w:p>
    <w:p w:rsidR="0083154E" w:rsidRDefault="0083154E">
      <w:pPr>
        <w:pStyle w:val="ConsPlusNormal"/>
        <w:spacing w:before="220"/>
        <w:ind w:firstLine="540"/>
        <w:jc w:val="both"/>
      </w:pPr>
      <w:r>
        <w:t>Решения комиссии по рассмотрению заявлений о внесении изменений в схему размещения нестационарных торговых объектов оформляются протоколом.</w:t>
      </w:r>
    </w:p>
    <w:p w:rsidR="0083154E" w:rsidRDefault="0083154E">
      <w:pPr>
        <w:pStyle w:val="ConsPlusNormal"/>
        <w:spacing w:before="220"/>
        <w:ind w:firstLine="540"/>
        <w:jc w:val="both"/>
      </w:pPr>
      <w:r>
        <w:t>18. В течение 7 (семи) рабочих дней с момента принятия решения на заседании комиссии по рассмотрению заявлений о внесении изменений в схему размещения нестационарных торговых объектов о нем должно быть письменно уведомлено заинтересованное лицо.</w:t>
      </w:r>
    </w:p>
    <w:p w:rsidR="0083154E" w:rsidRDefault="0083154E">
      <w:pPr>
        <w:pStyle w:val="ConsPlusNormal"/>
        <w:spacing w:before="220"/>
        <w:ind w:firstLine="540"/>
        <w:jc w:val="both"/>
      </w:pPr>
      <w:r>
        <w:t xml:space="preserve">19. В течение 3 (трех) рабочих дней с даты проведения заседания комиссии по рассмотрению заявлений о внесении изменений в схему размещения нестационарных торговых объектов орган местного самоуправления муниципального образования Тульской области разрабатывает проект муниципального правового акта о внесении изменений в схему размещения нестационарных </w:t>
      </w:r>
      <w:r>
        <w:lastRenderedPageBreak/>
        <w:t>торговых объектов, который утверждается в установленном порядке.</w:t>
      </w:r>
    </w:p>
    <w:p w:rsidR="0083154E" w:rsidRDefault="0083154E">
      <w:pPr>
        <w:pStyle w:val="ConsPlusNormal"/>
        <w:jc w:val="both"/>
      </w:pPr>
      <w:r>
        <w:t xml:space="preserve">(п. 19 в ред. </w:t>
      </w:r>
      <w:hyperlink r:id="rId22" w:history="1">
        <w:r>
          <w:rPr>
            <w:color w:val="0000FF"/>
          </w:rPr>
          <w:t>приказа</w:t>
        </w:r>
      </w:hyperlink>
      <w:r>
        <w:t xml:space="preserve"> комитета Тульской области по предпринимательству и потребительскому рынку от 25.04.2016 N 7)</w:t>
      </w:r>
    </w:p>
    <w:p w:rsidR="0083154E" w:rsidRDefault="0083154E">
      <w:pPr>
        <w:pStyle w:val="ConsPlusNormal"/>
        <w:spacing w:before="220"/>
        <w:ind w:firstLine="540"/>
        <w:jc w:val="both"/>
      </w:pPr>
      <w:r>
        <w:t>20.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комитета Тульской области по предпринимательству и потребительскому рынку и органа местного самоуправления в информационно-телекоммуникационной сети "Интернет".</w:t>
      </w:r>
    </w:p>
    <w:p w:rsidR="0083154E" w:rsidRDefault="0083154E">
      <w:pPr>
        <w:pStyle w:val="ConsPlusNormal"/>
        <w:spacing w:before="220"/>
        <w:ind w:firstLine="540"/>
        <w:jc w:val="both"/>
      </w:pPr>
      <w:r>
        <w:t>21.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 Такие нестационарные торговые объекты включаются в схему размещения нестационарных торговых объектов при условии, что они были размещены в соответствии с действующим законодательством.</w:t>
      </w:r>
    </w:p>
    <w:p w:rsidR="0083154E" w:rsidRDefault="0083154E">
      <w:pPr>
        <w:pStyle w:val="ConsPlusNormal"/>
        <w:spacing w:before="220"/>
        <w:ind w:firstLine="540"/>
        <w:jc w:val="both"/>
      </w:pPr>
      <w:r>
        <w:t>22. Нестационарный торговый объект может быть исключен из Схемы размещения в связи с изменением градостроительной ситуации (планируемым капитальным строительством, проведением работ по реконструкции, благоустройству территории), а также при выявлении нарушений действующего законодательства.</w:t>
      </w:r>
    </w:p>
    <w:p w:rsidR="0083154E" w:rsidRDefault="0083154E">
      <w:pPr>
        <w:pStyle w:val="ConsPlusNormal"/>
        <w:jc w:val="both"/>
      </w:pPr>
    </w:p>
    <w:p w:rsidR="0083154E" w:rsidRDefault="0083154E">
      <w:pPr>
        <w:pStyle w:val="ConsPlusNormal"/>
        <w:jc w:val="right"/>
      </w:pPr>
      <w:r>
        <w:t>Председатель комитета</w:t>
      </w:r>
    </w:p>
    <w:p w:rsidR="0083154E" w:rsidRDefault="0083154E">
      <w:pPr>
        <w:pStyle w:val="ConsPlusNormal"/>
        <w:jc w:val="right"/>
      </w:pPr>
      <w:r>
        <w:t>Тульской области</w:t>
      </w:r>
    </w:p>
    <w:p w:rsidR="0083154E" w:rsidRDefault="0083154E">
      <w:pPr>
        <w:pStyle w:val="ConsPlusNormal"/>
        <w:jc w:val="right"/>
      </w:pPr>
      <w:r>
        <w:t>по предпринимательству и</w:t>
      </w:r>
    </w:p>
    <w:p w:rsidR="0083154E" w:rsidRDefault="0083154E">
      <w:pPr>
        <w:pStyle w:val="ConsPlusNormal"/>
        <w:jc w:val="right"/>
      </w:pPr>
      <w:r>
        <w:t>потребительскому рынку</w:t>
      </w:r>
    </w:p>
    <w:p w:rsidR="0083154E" w:rsidRDefault="0083154E">
      <w:pPr>
        <w:pStyle w:val="ConsPlusNormal"/>
        <w:jc w:val="right"/>
      </w:pPr>
      <w:r>
        <w:t>В.В.ПЕЧУРЧИК</w:t>
      </w:r>
    </w:p>
    <w:p w:rsidR="0083154E" w:rsidRDefault="0083154E">
      <w:pPr>
        <w:pStyle w:val="ConsPlusNormal"/>
        <w:jc w:val="both"/>
      </w:pPr>
    </w:p>
    <w:p w:rsidR="0083154E" w:rsidRDefault="0083154E">
      <w:pPr>
        <w:pStyle w:val="ConsPlusNormal"/>
        <w:jc w:val="both"/>
      </w:pPr>
    </w:p>
    <w:p w:rsidR="0083154E" w:rsidRDefault="0083154E">
      <w:pPr>
        <w:pStyle w:val="ConsPlusNormal"/>
        <w:pBdr>
          <w:top w:val="single" w:sz="6" w:space="0" w:color="auto"/>
        </w:pBdr>
        <w:spacing w:before="100" w:after="100"/>
        <w:jc w:val="both"/>
        <w:rPr>
          <w:sz w:val="2"/>
          <w:szCs w:val="2"/>
        </w:rPr>
      </w:pPr>
    </w:p>
    <w:p w:rsidR="00EB54F6" w:rsidRDefault="00EB54F6">
      <w:bookmarkStart w:id="1" w:name="_GoBack"/>
      <w:bookmarkEnd w:id="1"/>
    </w:p>
    <w:sectPr w:rsidR="00EB54F6" w:rsidSect="00455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4E"/>
    <w:rsid w:val="0083154E"/>
    <w:rsid w:val="00EB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002C9-DEB0-4DB3-A57D-5910ABE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5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5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5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2E7D10CC1664A4B8B051C04AD16B89EA9C402EABCE9C55F49E4EDA31790A9AC5B1C682650E7DF6FACD31902E6190DCA7E9D6C455C95D7DCE2A2cEh5I" TargetMode="External"/><Relationship Id="rId13" Type="http://schemas.openxmlformats.org/officeDocument/2006/relationships/hyperlink" Target="consultantplus://offline/ref=3432E7D10CC1664A4B8B051C04AD16B89EA9C402EBBEE8C55349E4EDA31790A9AC5B1C7A2608EBDE69B2D31B17B04848c9h6I" TargetMode="External"/><Relationship Id="rId18" Type="http://schemas.openxmlformats.org/officeDocument/2006/relationships/hyperlink" Target="consultantplus://offline/ref=3432E7D10CC1664A4B8B051C04AD16B89EA9C402E8BAE3C25349E4EDA31790A9AC5B1C682650E7DF6FACD31A02E6190DCA7E9D6C455C95D7DCE2A2cEh5I" TargetMode="External"/><Relationship Id="rId3" Type="http://schemas.openxmlformats.org/officeDocument/2006/relationships/webSettings" Target="webSettings.xml"/><Relationship Id="rId21" Type="http://schemas.openxmlformats.org/officeDocument/2006/relationships/hyperlink" Target="consultantplus://offline/ref=3432E7D10CC1664A4B8B051C04AD16B89EA9C402E8BCE3C45C49E4EDA31790A9AC5B1C682650E7DF6FACD31A02E6190DCA7E9D6C455C95D7DCE2A2cEh5I" TargetMode="External"/><Relationship Id="rId7" Type="http://schemas.openxmlformats.org/officeDocument/2006/relationships/hyperlink" Target="consultantplus://offline/ref=3432E7D10CC1664A4B8B051C04AD16B89EA9C402EABCE5C85F49E4EDA31790A9AC5B1C682650E7DF6FACD31902E6190DCA7E9D6C455C95D7DCE2A2cEh5I" TargetMode="External"/><Relationship Id="rId12" Type="http://schemas.openxmlformats.org/officeDocument/2006/relationships/hyperlink" Target="consultantplus://offline/ref=3432E7D10CC1664A4B8B051C04AD16B89EA9C402E6BAE9C55949E4EDA31790A9AC5B1C682650E7DF6FACD11E02E6190DCA7E9D6C455C95D7DCE2A2cEh5I" TargetMode="External"/><Relationship Id="rId17" Type="http://schemas.openxmlformats.org/officeDocument/2006/relationships/hyperlink" Target="consultantplus://offline/ref=3432E7D10CC1664A4B8B051C04AD16B89EA9C402E8BAE3C25349E4EDA31790A9AC5B1C682650E7DF6FACD31A02E6190DCA7E9D6C455C95D7DCE2A2cEh5I" TargetMode="External"/><Relationship Id="rId2" Type="http://schemas.openxmlformats.org/officeDocument/2006/relationships/settings" Target="settings.xml"/><Relationship Id="rId16" Type="http://schemas.openxmlformats.org/officeDocument/2006/relationships/hyperlink" Target="consultantplus://offline/ref=3432E7D10CC1664A4B8B051C04AD16B89EA9C402EABCE9C55F49E4EDA31790A9AC5B1C682650E7DF6FACD21D02E6190DCA7E9D6C455C95D7DCE2A2cEh5I" TargetMode="External"/><Relationship Id="rId20" Type="http://schemas.openxmlformats.org/officeDocument/2006/relationships/hyperlink" Target="consultantplus://offline/ref=3432E7D10CC1664A4B8B051C04AD16B89EA9C402E8BAE3C25349E4EDA31790A9AC5B1C682650E7DF6FACD31B02E6190DCA7E9D6C455C95D7DCE2A2cEh5I" TargetMode="External"/><Relationship Id="rId1" Type="http://schemas.openxmlformats.org/officeDocument/2006/relationships/styles" Target="styles.xml"/><Relationship Id="rId6" Type="http://schemas.openxmlformats.org/officeDocument/2006/relationships/hyperlink" Target="consultantplus://offline/ref=3432E7D10CC1664A4B8B051C04AD16B89EA9C402EABCE2C95A49E4EDA31790A9AC5B1C682650E7DF6FACD31902E6190DCA7E9D6C455C95D7DCE2A2cEh5I" TargetMode="External"/><Relationship Id="rId11" Type="http://schemas.openxmlformats.org/officeDocument/2006/relationships/hyperlink" Target="consultantplus://offline/ref=3432E7D10CC1664A4B8B050A07C148B39AA29B08E7BEEA970716BFB0F41E9AFEEB14452A625DE7DE68A7874D4DE74548996D9C6D455E92C8cDh7I" TargetMode="External"/><Relationship Id="rId24" Type="http://schemas.openxmlformats.org/officeDocument/2006/relationships/theme" Target="theme/theme1.xml"/><Relationship Id="rId5" Type="http://schemas.openxmlformats.org/officeDocument/2006/relationships/hyperlink" Target="consultantplus://offline/ref=3432E7D10CC1664A4B8B051C04AD16B89EA9C402EBBEE8C85C49E4EDA31790A9AC5B1C682650E7DF6FACD31902E6190DCA7E9D6C455C95D7DCE2A2cEh5I" TargetMode="External"/><Relationship Id="rId15" Type="http://schemas.openxmlformats.org/officeDocument/2006/relationships/hyperlink" Target="consultantplus://offline/ref=3432E7D10CC1664A4B8B051C04AD16B89EA9C402EABCE9C55F49E4EDA31790A9AC5B1C682650E7DF6FACD21D02E6190DCA7E9D6C455C95D7DCE2A2cEh5I" TargetMode="External"/><Relationship Id="rId23" Type="http://schemas.openxmlformats.org/officeDocument/2006/relationships/fontTable" Target="fontTable.xml"/><Relationship Id="rId10" Type="http://schemas.openxmlformats.org/officeDocument/2006/relationships/hyperlink" Target="consultantplus://offline/ref=3432E7D10CC1664A4B8B051C04AD16B89EA9C402E8BCE3C45C49E4EDA31790A9AC5B1C682650E7DF6FACD31902E6190DCA7E9D6C455C95D7DCE2A2cEh5I" TargetMode="External"/><Relationship Id="rId19" Type="http://schemas.openxmlformats.org/officeDocument/2006/relationships/hyperlink" Target="consultantplus://offline/ref=3432E7D10CC1664A4B8B051C04AD16B89EA9C402E8BAE3C25349E4EDA31790A9AC5B1C682650E7DF6FACD31A02E6190DCA7E9D6C455C95D7DCE2A2cEh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32E7D10CC1664A4B8B051C04AD16B89EA9C402E8BAE3C25349E4EDA31790A9AC5B1C682650E7DF6FACD31902E6190DCA7E9D6C455C95D7DCE2A2cEh5I" TargetMode="External"/><Relationship Id="rId14" Type="http://schemas.openxmlformats.org/officeDocument/2006/relationships/hyperlink" Target="consultantplus://offline/ref=3432E7D10CC1664A4B8B051C04AD16B89EA9C402EABCE9C55F49E4EDA31790A9AC5B1C682650E7DF6FACD31402E6190DCA7E9D6C455C95D7DCE2A2cEh5I" TargetMode="External"/><Relationship Id="rId22" Type="http://schemas.openxmlformats.org/officeDocument/2006/relationships/hyperlink" Target="consultantplus://offline/ref=3432E7D10CC1664A4B8B051C04AD16B89EA9C402E8BCE3C45C49E4EDA31790A9AC5B1C682650E7DF6FACD31A02E6190DCA7E9D6C455C95D7DCE2A2cE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2019-07-16T08:33:00Z</dcterms:created>
  <dcterms:modified xsi:type="dcterms:W3CDTF">2019-07-16T08:33:00Z</dcterms:modified>
</cp:coreProperties>
</file>