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04" w:rsidRPr="00FD5F9C" w:rsidRDefault="008F1C04" w:rsidP="008F1C0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D5F9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КОНТРОЛЬНО-СЧЕТНАЯ ПАЛАТА МУНИЦИПАЛЬНОГО ОБРАЗОВАНИЯ ВЕНЕВСКИЙ РАЙОН</w:t>
      </w:r>
    </w:p>
    <w:p w:rsidR="008F1C04" w:rsidRPr="00FD5F9C" w:rsidRDefault="008F1C04" w:rsidP="008F1C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8F1C04" w:rsidRPr="00FD5F9C" w:rsidRDefault="008F1C04" w:rsidP="008F1C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8F1C04" w:rsidRPr="00FD5F9C" w:rsidRDefault="008F1C04" w:rsidP="008F1C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D5F9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СТАНДАРТ ВНЕШНЕГО МУНИЦИПАЛЬНОГО </w:t>
      </w:r>
    </w:p>
    <w:p w:rsidR="008F1C04" w:rsidRPr="00FD5F9C" w:rsidRDefault="008F1C04" w:rsidP="008F1C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D5F9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ФИНАНСОВОГО КОНТРОЛЯ </w:t>
      </w:r>
    </w:p>
    <w:p w:rsidR="008F1C04" w:rsidRPr="00FD5F9C" w:rsidRDefault="008F1C04" w:rsidP="008F1C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FD5F9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Порядок подготовки ежегодного отчета о деятельности Контрольно-счетной палаты муниципального</w:t>
      </w:r>
      <w:r w:rsidRPr="008F1C04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образования Веневский район</w:t>
      </w:r>
      <w:r w:rsidRPr="00FD5F9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</w:p>
    <w:p w:rsidR="008F1C04" w:rsidRPr="00FD5F9C" w:rsidRDefault="008F1C04" w:rsidP="008F1C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Председателя  </w:t>
      </w:r>
    </w:p>
    <w:p w:rsidR="008F1C04" w:rsidRPr="00FD5F9C" w:rsidRDefault="008F1C04" w:rsidP="008F1C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палаты муниципального образования Веневский район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D5F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04" w:rsidRDefault="008F1C04" w:rsidP="008F1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8F1C04" w:rsidRPr="008F1C04" w:rsidRDefault="008F1C04" w:rsidP="008F1C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Содержание</w:t>
      </w:r>
    </w:p>
    <w:p w:rsidR="008F1C04" w:rsidRPr="008F1C04" w:rsidRDefault="008F1C04" w:rsidP="008F1C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1C04">
        <w:rPr>
          <w:sz w:val="28"/>
          <w:szCs w:val="28"/>
        </w:rPr>
        <w:t> </w:t>
      </w:r>
    </w:p>
    <w:p w:rsidR="008F1C04" w:rsidRPr="008F1C04" w:rsidRDefault="008F1C04" w:rsidP="008F1C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1C04">
        <w:rPr>
          <w:sz w:val="28"/>
          <w:szCs w:val="28"/>
        </w:rPr>
        <w:t> </w:t>
      </w:r>
    </w:p>
    <w:p w:rsidR="008F1C04" w:rsidRPr="008F1C04" w:rsidRDefault="008F1C04" w:rsidP="008F1C04">
      <w:pPr>
        <w:pStyle w:val="a3"/>
        <w:spacing w:before="0" w:beforeAutospacing="0" w:after="0" w:afterAutospacing="0"/>
        <w:rPr>
          <w:sz w:val="28"/>
          <w:szCs w:val="28"/>
        </w:rPr>
      </w:pPr>
      <w:r w:rsidRPr="008F1C04">
        <w:rPr>
          <w:rStyle w:val="a4"/>
          <w:b w:val="0"/>
          <w:sz w:val="28"/>
          <w:szCs w:val="28"/>
        </w:rPr>
        <w:t>1. Общие положения</w:t>
      </w:r>
      <w:r w:rsidRPr="008F1C04">
        <w:rPr>
          <w:sz w:val="28"/>
          <w:szCs w:val="28"/>
        </w:rPr>
        <w:t>………………………………………………………</w:t>
      </w:r>
      <w:proofErr w:type="gramStart"/>
      <w:r w:rsidRPr="008F1C04">
        <w:rPr>
          <w:sz w:val="28"/>
          <w:szCs w:val="28"/>
        </w:rPr>
        <w:t>…....</w:t>
      </w:r>
      <w:proofErr w:type="gramEnd"/>
      <w:r w:rsidRPr="008F1C04">
        <w:rPr>
          <w:sz w:val="28"/>
          <w:szCs w:val="28"/>
        </w:rPr>
        <w:t>3</w:t>
      </w:r>
    </w:p>
    <w:p w:rsidR="008F1C04" w:rsidRPr="008F1C04" w:rsidRDefault="008F1C04" w:rsidP="008F1C04">
      <w:pPr>
        <w:pStyle w:val="a3"/>
        <w:spacing w:before="0" w:beforeAutospacing="0" w:after="0" w:afterAutospacing="0"/>
        <w:rPr>
          <w:sz w:val="28"/>
          <w:szCs w:val="28"/>
        </w:rPr>
      </w:pPr>
      <w:r w:rsidRPr="008F1C04">
        <w:rPr>
          <w:sz w:val="28"/>
          <w:szCs w:val="28"/>
        </w:rPr>
        <w:t> </w:t>
      </w:r>
    </w:p>
    <w:p w:rsidR="008F1C04" w:rsidRPr="008F1C04" w:rsidRDefault="008F1C04" w:rsidP="008F1C04">
      <w:pPr>
        <w:pStyle w:val="a3"/>
        <w:spacing w:before="0" w:beforeAutospacing="0" w:after="0" w:afterAutospacing="0"/>
        <w:rPr>
          <w:sz w:val="28"/>
          <w:szCs w:val="28"/>
        </w:rPr>
      </w:pPr>
      <w:r w:rsidRPr="008F1C04">
        <w:rPr>
          <w:rStyle w:val="a4"/>
          <w:b w:val="0"/>
          <w:sz w:val="28"/>
          <w:szCs w:val="28"/>
        </w:rPr>
        <w:t>2. Структура и формирование Годового отчета</w:t>
      </w:r>
      <w:r w:rsidRPr="008F1C04">
        <w:rPr>
          <w:sz w:val="28"/>
          <w:szCs w:val="28"/>
        </w:rPr>
        <w:t>…………</w:t>
      </w:r>
      <w:proofErr w:type="gramStart"/>
      <w:r w:rsidRPr="008F1C04">
        <w:rPr>
          <w:sz w:val="28"/>
          <w:szCs w:val="28"/>
        </w:rPr>
        <w:t>…….</w:t>
      </w:r>
      <w:proofErr w:type="gramEnd"/>
      <w:r w:rsidRPr="008F1C04">
        <w:rPr>
          <w:sz w:val="28"/>
          <w:szCs w:val="28"/>
        </w:rPr>
        <w:t>………</w:t>
      </w:r>
      <w:r w:rsidR="0011153B">
        <w:rPr>
          <w:sz w:val="28"/>
          <w:szCs w:val="28"/>
        </w:rPr>
        <w:t>….</w:t>
      </w:r>
      <w:r w:rsidRPr="008F1C04">
        <w:rPr>
          <w:sz w:val="28"/>
          <w:szCs w:val="28"/>
        </w:rPr>
        <w:t>…..3</w:t>
      </w:r>
    </w:p>
    <w:p w:rsidR="008F1C04" w:rsidRPr="008F1C04" w:rsidRDefault="008F1C04" w:rsidP="008F1C04">
      <w:pPr>
        <w:pStyle w:val="a3"/>
        <w:spacing w:before="0" w:beforeAutospacing="0" w:after="0" w:afterAutospacing="0"/>
        <w:rPr>
          <w:sz w:val="28"/>
          <w:szCs w:val="28"/>
        </w:rPr>
      </w:pPr>
      <w:r w:rsidRPr="008F1C04">
        <w:rPr>
          <w:sz w:val="28"/>
          <w:szCs w:val="28"/>
        </w:rPr>
        <w:t> </w:t>
      </w:r>
    </w:p>
    <w:p w:rsidR="008F1C04" w:rsidRPr="008F1C04" w:rsidRDefault="008F1C04" w:rsidP="008F1C04">
      <w:pPr>
        <w:pStyle w:val="a3"/>
        <w:spacing w:before="0" w:beforeAutospacing="0" w:after="0" w:afterAutospacing="0"/>
        <w:rPr>
          <w:sz w:val="28"/>
          <w:szCs w:val="28"/>
        </w:rPr>
      </w:pPr>
      <w:r w:rsidRPr="008F1C04">
        <w:rPr>
          <w:rStyle w:val="a4"/>
          <w:b w:val="0"/>
          <w:sz w:val="28"/>
          <w:szCs w:val="28"/>
        </w:rPr>
        <w:t>3. Правила формирования Годового отчета</w:t>
      </w:r>
      <w:r w:rsidRPr="008F1C04">
        <w:rPr>
          <w:sz w:val="28"/>
          <w:szCs w:val="28"/>
        </w:rPr>
        <w:t>……………………</w:t>
      </w:r>
      <w:proofErr w:type="gramStart"/>
      <w:r w:rsidRPr="008F1C04">
        <w:rPr>
          <w:sz w:val="28"/>
          <w:szCs w:val="28"/>
        </w:rPr>
        <w:t>…….</w:t>
      </w:r>
      <w:proofErr w:type="gramEnd"/>
      <w:r w:rsidRPr="008F1C04">
        <w:rPr>
          <w:sz w:val="28"/>
          <w:szCs w:val="28"/>
        </w:rPr>
        <w:t>.…</w:t>
      </w:r>
      <w:r w:rsidR="0011153B">
        <w:rPr>
          <w:sz w:val="28"/>
          <w:szCs w:val="28"/>
        </w:rPr>
        <w:t>…...</w:t>
      </w:r>
      <w:r w:rsidRPr="008F1C04">
        <w:rPr>
          <w:sz w:val="28"/>
          <w:szCs w:val="28"/>
        </w:rPr>
        <w:t>.5</w:t>
      </w:r>
    </w:p>
    <w:p w:rsidR="008F1C04" w:rsidRPr="008F1C04" w:rsidRDefault="008F1C04" w:rsidP="008F1C04">
      <w:pPr>
        <w:pStyle w:val="a3"/>
        <w:spacing w:before="0" w:beforeAutospacing="0" w:after="0" w:afterAutospacing="0"/>
        <w:rPr>
          <w:sz w:val="28"/>
          <w:szCs w:val="28"/>
        </w:rPr>
      </w:pPr>
      <w:r w:rsidRPr="008F1C04">
        <w:rPr>
          <w:sz w:val="28"/>
          <w:szCs w:val="28"/>
        </w:rPr>
        <w:t> </w:t>
      </w: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Default="008F1C04" w:rsidP="008F1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F1C04" w:rsidRPr="008F1C04" w:rsidRDefault="008F1C04" w:rsidP="008F1C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1C04">
        <w:rPr>
          <w:rStyle w:val="a4"/>
          <w:sz w:val="28"/>
          <w:szCs w:val="28"/>
        </w:rPr>
        <w:t>1. Общие положения</w:t>
      </w:r>
    </w:p>
    <w:p w:rsidR="008F1C04" w:rsidRPr="008F1C04" w:rsidRDefault="008F1C04" w:rsidP="008F1C04">
      <w:pPr>
        <w:pStyle w:val="a3"/>
        <w:spacing w:before="0" w:beforeAutospacing="0" w:after="0" w:afterAutospacing="0"/>
        <w:rPr>
          <w:sz w:val="28"/>
          <w:szCs w:val="28"/>
        </w:rPr>
      </w:pPr>
      <w:r w:rsidRPr="008F1C04">
        <w:rPr>
          <w:sz w:val="28"/>
          <w:szCs w:val="28"/>
        </w:rPr>
        <w:t> 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 xml:space="preserve">1.1. Стандарт внешнего государственного финансового контроля Контрольно-счетной палаты </w:t>
      </w:r>
      <w:r>
        <w:rPr>
          <w:sz w:val="28"/>
          <w:szCs w:val="28"/>
        </w:rPr>
        <w:t>муниципального образования Веневский район</w:t>
      </w:r>
      <w:r w:rsidRPr="008F1C04">
        <w:rPr>
          <w:sz w:val="28"/>
          <w:szCs w:val="28"/>
        </w:rPr>
        <w:t xml:space="preserve"> (далее КСП) «Порядок подготовки ежегодного отчета о деятельности Контрольно-счетной палаты </w:t>
      </w:r>
      <w:r>
        <w:rPr>
          <w:sz w:val="28"/>
          <w:szCs w:val="28"/>
        </w:rPr>
        <w:t>муниципального образования Веневский район</w:t>
      </w:r>
      <w:r w:rsidRPr="008F1C04">
        <w:rPr>
          <w:sz w:val="28"/>
          <w:szCs w:val="28"/>
        </w:rPr>
        <w:t xml:space="preserve"> (далее – Стандарт) разработан в соответствии со статьями 11, 19 Федерального закона от 7 февраля 2011 года №6-ФЗ «Об общих принципах организации и деятельности контрольно-счетных органов субъектов Российской Федерации и муниципальных образований», Положением и Регламентом КСП.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Стандарт определяет правила подготовки проекта ежегодного отчета о деятельности КСП в отчетном году.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Стандарт определяет структуру ежегодного отчета о деятельности КСП (далее -Годовой отчет), схему организации работы по подготовке проекта Годового отчета, общие требования к представлению документов и материалов к формированию Годового отчета.</w:t>
      </w:r>
    </w:p>
    <w:p w:rsidR="008F1C04" w:rsidRPr="008F1C04" w:rsidRDefault="008F1C04" w:rsidP="008F1C04">
      <w:pPr>
        <w:pStyle w:val="a3"/>
        <w:spacing w:before="0" w:beforeAutospacing="0" w:after="0" w:afterAutospacing="0"/>
        <w:rPr>
          <w:sz w:val="28"/>
          <w:szCs w:val="28"/>
        </w:rPr>
      </w:pPr>
      <w:r w:rsidRPr="008F1C04">
        <w:rPr>
          <w:sz w:val="28"/>
          <w:szCs w:val="28"/>
        </w:rPr>
        <w:t> </w:t>
      </w:r>
    </w:p>
    <w:p w:rsidR="008F1C04" w:rsidRPr="008F1C04" w:rsidRDefault="008F1C04" w:rsidP="008F1C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1C04">
        <w:rPr>
          <w:rStyle w:val="a4"/>
          <w:sz w:val="28"/>
          <w:szCs w:val="28"/>
        </w:rPr>
        <w:t>2. Структура и формирование Годового отчета</w:t>
      </w:r>
    </w:p>
    <w:p w:rsidR="008F1C04" w:rsidRPr="008F1C04" w:rsidRDefault="008F1C04" w:rsidP="008F1C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1C04">
        <w:rPr>
          <w:sz w:val="28"/>
          <w:szCs w:val="28"/>
        </w:rPr>
        <w:t> 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Годовой отчет состоит из сводной части и годовых отчетов по направлениям деятельности КСП.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Сводная часть Годовог</w:t>
      </w:r>
      <w:r w:rsidR="0011153B">
        <w:rPr>
          <w:sz w:val="28"/>
          <w:szCs w:val="28"/>
        </w:rPr>
        <w:t xml:space="preserve">о отчета содержит общие данные, </w:t>
      </w:r>
      <w:r w:rsidRPr="008F1C04">
        <w:rPr>
          <w:sz w:val="28"/>
          <w:szCs w:val="28"/>
        </w:rPr>
        <w:t>характеризующие деятельность КСП в целом, и их анализ. Сводная часть Годового отчета включает следующие разделы и подразделы: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1. Вводные положения.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1.1 Особенности, приоритеты и виды деятельности КСП в отчетном году.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1.2. Основные итоги деятельности КСП в отчетном году.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2. Общая характеристика контрольных мероприятий.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2.1. Краткая информация об итогах проведенных контрольных мероприятий и основные оценки по результатам контроля.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 xml:space="preserve">2.1.1 Нецелевое и неэффективное использование средств бюджетной системы и иные финансовые нарушения, в том числе ущерб и потери бюджету </w:t>
      </w:r>
      <w:r>
        <w:rPr>
          <w:sz w:val="28"/>
          <w:szCs w:val="28"/>
        </w:rPr>
        <w:t>муниципального образования Веневский район</w:t>
      </w:r>
      <w:r>
        <w:rPr>
          <w:sz w:val="28"/>
          <w:szCs w:val="28"/>
        </w:rPr>
        <w:t>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2.1.2. Меры, принятые КСП по результатам контрольных мероприятий.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2.1.3. Меры, принятые органами государственной власти, государственными органами, органами местного самоуправления и </w:t>
      </w:r>
      <w:r w:rsidRPr="008F1C04">
        <w:rPr>
          <w:sz w:val="28"/>
          <w:szCs w:val="28"/>
        </w:rPr>
        <w:t>иными органами,</w:t>
      </w:r>
      <w:r w:rsidRPr="008F1C04">
        <w:rPr>
          <w:sz w:val="28"/>
          <w:szCs w:val="28"/>
        </w:rPr>
        <w:t xml:space="preserve"> и организациями, по устранению нарушений, выявленных КСП.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3. Общая характеристика экспертно-аналитической деятельности и основные оценки ее результатов.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 xml:space="preserve">3.1. Контроль за формированием и исполнением бюджета </w:t>
      </w:r>
      <w:r>
        <w:rPr>
          <w:sz w:val="28"/>
          <w:szCs w:val="28"/>
        </w:rPr>
        <w:t>муниципального образования Веневский район</w:t>
      </w:r>
      <w:r w:rsidRPr="008F1C04">
        <w:rPr>
          <w:sz w:val="28"/>
          <w:szCs w:val="28"/>
        </w:rPr>
        <w:t>: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3.1.1. Предварительный контроль.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3.1.2. Оперативный контроль.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3.1.3. Последующий контроль.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 xml:space="preserve">3.2. Меры, принимаемые КСП, органами государственной власти, государственными органами, органами местного самоуправления и иными органами управления по результатам контроля за формированием и исполнением бюджета </w:t>
      </w:r>
      <w:r>
        <w:rPr>
          <w:sz w:val="28"/>
          <w:szCs w:val="28"/>
        </w:rPr>
        <w:t>муниципального образования Веневский район</w:t>
      </w:r>
      <w:r w:rsidRPr="008F1C04">
        <w:rPr>
          <w:sz w:val="28"/>
          <w:szCs w:val="28"/>
        </w:rPr>
        <w:t>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 xml:space="preserve">3.3. Внешние проверки бюджетной отчетности главных администраторов средств бюджета </w:t>
      </w:r>
      <w:r>
        <w:rPr>
          <w:sz w:val="28"/>
          <w:szCs w:val="28"/>
        </w:rPr>
        <w:t>муниципального образования Веневский район</w:t>
      </w:r>
      <w:r w:rsidRPr="008F1C04">
        <w:rPr>
          <w:sz w:val="28"/>
          <w:szCs w:val="28"/>
        </w:rPr>
        <w:t>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 xml:space="preserve">3.4. Финансово-экономическая экспертиза проектов законов </w:t>
      </w:r>
      <w:r>
        <w:rPr>
          <w:sz w:val="28"/>
          <w:szCs w:val="28"/>
        </w:rPr>
        <w:t>муниципального образования Веневский район</w:t>
      </w:r>
      <w:r w:rsidRPr="008F1C04">
        <w:rPr>
          <w:sz w:val="28"/>
          <w:szCs w:val="28"/>
        </w:rPr>
        <w:t>, иных нормативных правовых актов.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3.4.1. Предложения по совершенствованию законодательства.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3.4.2. Иная экспертно-аналитическая деятельность.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3.4.3. Стандарты внешнего муниципального финансового контроля, методики проведения контрольных мероприятий.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4. Важнейшие итоги контрольной и экспертно-аналитической деятельности по направлениям деятельности Контрольно-счетной палаты: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1C04">
        <w:rPr>
          <w:sz w:val="28"/>
          <w:szCs w:val="28"/>
        </w:rPr>
        <w:t>контроль за эффективностью исполнения бюджета, поступлением доходов местного бюджета, управлением муниципальной собственностью и межбюджетными отношениями;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1C04">
        <w:rPr>
          <w:sz w:val="28"/>
          <w:szCs w:val="28"/>
        </w:rPr>
        <w:t>контроль за целевым и эффективным расходованием бюджетных средств, выделенных на социальную сферу;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1C04">
        <w:rPr>
          <w:sz w:val="28"/>
          <w:szCs w:val="28"/>
        </w:rPr>
        <w:t>контроль за целевым и эффективным расходованием бюджетных средств в государственном управлении, жилищно-коммунальном хозяйстве.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5. Информирование общественности и взаимодействие Контрольно-счетной палаты.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5.1. Информирование общественности, участие в депутатских слушаниях по вопросам рассмотрения проекта местного бюджета по исполнению и принятию на очередной финансовый год.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 xml:space="preserve">5.2. Взаимодействие с Контрольно-счетной палатой </w:t>
      </w:r>
      <w:r>
        <w:rPr>
          <w:sz w:val="28"/>
          <w:szCs w:val="28"/>
        </w:rPr>
        <w:t>Тульс</w:t>
      </w:r>
      <w:r w:rsidRPr="008F1C04">
        <w:rPr>
          <w:sz w:val="28"/>
          <w:szCs w:val="28"/>
        </w:rPr>
        <w:t>кой области.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5.3. Взаимодействие с правоохранительными и надзорными органами.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5.4. Взаимодействие с областными органами государственной власти.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6. Обеспечение деятельности Контрольно-счетной палаты.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F1C04">
        <w:rPr>
          <w:sz w:val="28"/>
          <w:szCs w:val="28"/>
        </w:rPr>
        <w:t>6.1. Организационное и документационное обеспечение деятельности КСП в том числе, по вопросам обращения граждан и юридических лиц.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6.2. Нормативное и методическое обеспечение деятельности КСП.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6.3. Кадровое обеспечение деятельности КСП.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6.4. Правовое обеспечение деятельности КСП.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6.5. Информационное и программное обеспечение деятельности КСП.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6.6. Финансовое и материально-техническое обеспечение деятельности КСП.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7. Выводы и предложения.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В качестве приложений к Годовому отчету могут приводиться необходимые количественные и фактографические данные, в том числе: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- основные показатели деятельности КСП в отчетном году;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- структура финансовых нарушений, выявленных КСП в отчетном году;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- количественные данные о выполнении представлений и предписаний КСП в отчетном году;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- другие табличные материалы.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Объем годового отчета КСП не ограничен.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Проект Годового отчета вносится на рассмотрение председателем КСП.</w:t>
      </w:r>
    </w:p>
    <w:p w:rsidR="008F1C04" w:rsidRPr="008F1C04" w:rsidRDefault="008F1C04" w:rsidP="008F1C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 xml:space="preserve">Годовой отчет, с учетом рассмотрения председателем КСП, вносится на рассмотрение </w:t>
      </w:r>
      <w:r>
        <w:rPr>
          <w:sz w:val="28"/>
          <w:szCs w:val="28"/>
        </w:rPr>
        <w:t xml:space="preserve">Собранию </w:t>
      </w:r>
      <w:r w:rsidR="0011153B">
        <w:rPr>
          <w:sz w:val="28"/>
          <w:szCs w:val="28"/>
        </w:rPr>
        <w:t>представителей муниципального</w:t>
      </w:r>
      <w:r>
        <w:rPr>
          <w:sz w:val="28"/>
          <w:szCs w:val="28"/>
        </w:rPr>
        <w:t xml:space="preserve"> образования Веневский район</w:t>
      </w:r>
      <w:r w:rsidRPr="008F1C04">
        <w:rPr>
          <w:sz w:val="28"/>
          <w:szCs w:val="28"/>
        </w:rPr>
        <w:t xml:space="preserve"> за подписью председателя КСП до 30 марта года, следующего за отчетным.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Представление Годового отчета в </w:t>
      </w:r>
      <w:r w:rsidR="0011153B">
        <w:rPr>
          <w:sz w:val="28"/>
          <w:szCs w:val="28"/>
        </w:rPr>
        <w:t>Собрани</w:t>
      </w:r>
      <w:r w:rsidR="0011153B">
        <w:rPr>
          <w:sz w:val="28"/>
          <w:szCs w:val="28"/>
        </w:rPr>
        <w:t>и</w:t>
      </w:r>
      <w:r w:rsidR="0011153B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11153B" w:rsidRPr="008F1C04">
        <w:rPr>
          <w:sz w:val="28"/>
          <w:szCs w:val="28"/>
        </w:rPr>
        <w:t xml:space="preserve"> </w:t>
      </w:r>
      <w:r w:rsidRPr="008F1C04">
        <w:rPr>
          <w:sz w:val="28"/>
          <w:szCs w:val="28"/>
        </w:rPr>
        <w:t>осуществляется председателем Контрольно-счетной палаты.</w:t>
      </w:r>
    </w:p>
    <w:p w:rsidR="008F1C04" w:rsidRPr="008F1C04" w:rsidRDefault="008F1C04" w:rsidP="008F1C04">
      <w:pPr>
        <w:pStyle w:val="a3"/>
        <w:spacing w:before="0" w:beforeAutospacing="0" w:after="0" w:afterAutospacing="0"/>
        <w:rPr>
          <w:sz w:val="28"/>
          <w:szCs w:val="28"/>
        </w:rPr>
      </w:pPr>
      <w:r w:rsidRPr="008F1C04">
        <w:rPr>
          <w:sz w:val="28"/>
          <w:szCs w:val="28"/>
        </w:rPr>
        <w:t> </w:t>
      </w:r>
    </w:p>
    <w:p w:rsidR="008F1C04" w:rsidRPr="008F1C04" w:rsidRDefault="008F1C04" w:rsidP="008F1C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1C04">
        <w:rPr>
          <w:rStyle w:val="a4"/>
          <w:sz w:val="28"/>
          <w:szCs w:val="28"/>
        </w:rPr>
        <w:t>3. Правила формирования Годового отчета</w:t>
      </w:r>
    </w:p>
    <w:p w:rsidR="008F1C04" w:rsidRPr="008F1C04" w:rsidRDefault="008F1C04" w:rsidP="008F1C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1C04">
        <w:rPr>
          <w:sz w:val="28"/>
          <w:szCs w:val="28"/>
        </w:rPr>
        <w:t> 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 xml:space="preserve">Учет количества проведенных контрольных и экспертно-аналитических мероприятий осуществляется по исполненным пунктам плана деятельности КСП (завершенным контрольным и экспертно-аналитическим мероприятиям </w:t>
      </w:r>
      <w:proofErr w:type="spellStart"/>
      <w:r w:rsidRPr="008F1C04">
        <w:rPr>
          <w:sz w:val="28"/>
          <w:szCs w:val="28"/>
        </w:rPr>
        <w:t>и.т.д</w:t>
      </w:r>
      <w:proofErr w:type="spellEnd"/>
      <w:r w:rsidRPr="008F1C04">
        <w:rPr>
          <w:sz w:val="28"/>
          <w:szCs w:val="28"/>
        </w:rPr>
        <w:t>.). Контрольные и экспертно-аналитические мероприятия учитываются раздельно.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В годовых отчетах приводятся данные только по завершенным контрольным и экспертно-аналитическим мероприятиям.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При определении количества проверенных объектов в качестве объекта проверки учитывается организация (юридическое лицо), в которой в отчетном периоде были проведены контрольные мероприятия и по их результатам составлен акт.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Все данные приводятся строго за отчетный период (за период с 1 января по 31 декабря отчетного года). Информация по выявленным финансовым нарушениям включается в отчет о деятельности КСП только на основании не оспоренного (оспариваемых) представлений и предписаний КСП, а по оспариваемым финансовым нарушениям с учетом постановлений соответствующих судов.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Суммы выявленных и возмещенных финансовых нарушений указываются в тысячах рублях с точностью до первого десятичного знака.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Текстовые документы и материалы к формированию отчетов о деятельности КСП оформляются в соответствии со следующими требованиями: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8F1C04">
        <w:rPr>
          <w:sz w:val="28"/>
          <w:szCs w:val="28"/>
        </w:rPr>
        <w:t>шрифт</w:t>
      </w:r>
      <w:r w:rsidRPr="008F1C04">
        <w:rPr>
          <w:sz w:val="28"/>
          <w:szCs w:val="28"/>
          <w:lang w:val="en-US"/>
        </w:rPr>
        <w:t xml:space="preserve"> – Times New Roman;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8F1C04">
        <w:rPr>
          <w:sz w:val="28"/>
          <w:szCs w:val="28"/>
        </w:rPr>
        <w:t>размер</w:t>
      </w:r>
      <w:r w:rsidRPr="008F1C04">
        <w:rPr>
          <w:sz w:val="28"/>
          <w:szCs w:val="28"/>
          <w:lang w:val="en-US"/>
        </w:rPr>
        <w:t xml:space="preserve"> </w:t>
      </w:r>
      <w:r w:rsidRPr="008F1C04">
        <w:rPr>
          <w:sz w:val="28"/>
          <w:szCs w:val="28"/>
        </w:rPr>
        <w:t>шрифта</w:t>
      </w:r>
      <w:r w:rsidRPr="008F1C04">
        <w:rPr>
          <w:sz w:val="28"/>
          <w:szCs w:val="28"/>
          <w:lang w:val="en-US"/>
        </w:rPr>
        <w:t xml:space="preserve"> – 14;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межстрочный интервал – 1,5;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поля страницы: левое, верхнее и нижнее – по 2,5 см., правое – 1,5 см.;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абзацный отступ – 1,0 см.;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без переносов в словах;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нумерация страниц – по центру сверху, на первой странице номер не указывается.</w:t>
      </w:r>
    </w:p>
    <w:p w:rsidR="008F1C04" w:rsidRPr="008F1C04" w:rsidRDefault="008F1C04" w:rsidP="00111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Документы и материалы к формированию отчетов о деятельности КСП представляются на бумажном носителе и в электронном виде</w:t>
      </w:r>
      <w:r w:rsidR="0011153B">
        <w:rPr>
          <w:sz w:val="28"/>
          <w:szCs w:val="28"/>
        </w:rPr>
        <w:t xml:space="preserve"> (при необходимости)</w:t>
      </w:r>
      <w:r w:rsidRPr="008F1C04">
        <w:rPr>
          <w:sz w:val="28"/>
          <w:szCs w:val="28"/>
        </w:rPr>
        <w:t>.</w:t>
      </w:r>
    </w:p>
    <w:p w:rsidR="00B9537E" w:rsidRPr="008F1C04" w:rsidRDefault="00B9537E" w:rsidP="008F1C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537E" w:rsidRPr="008F1C04" w:rsidSect="008F1C0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04" w:rsidRDefault="008F1C04" w:rsidP="008F1C04">
      <w:pPr>
        <w:spacing w:after="0" w:line="240" w:lineRule="auto"/>
      </w:pPr>
      <w:r>
        <w:separator/>
      </w:r>
    </w:p>
  </w:endnote>
  <w:endnote w:type="continuationSeparator" w:id="0">
    <w:p w:rsidR="008F1C04" w:rsidRDefault="008F1C04" w:rsidP="008F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04" w:rsidRDefault="008F1C04" w:rsidP="008F1C04">
      <w:pPr>
        <w:spacing w:after="0" w:line="240" w:lineRule="auto"/>
      </w:pPr>
      <w:r>
        <w:separator/>
      </w:r>
    </w:p>
  </w:footnote>
  <w:footnote w:type="continuationSeparator" w:id="0">
    <w:p w:rsidR="008F1C04" w:rsidRDefault="008F1C04" w:rsidP="008F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199794"/>
      <w:docPartObj>
        <w:docPartGallery w:val="Page Numbers (Top of Page)"/>
        <w:docPartUnique/>
      </w:docPartObj>
    </w:sdtPr>
    <w:sdtContent>
      <w:p w:rsidR="008F1C04" w:rsidRDefault="008F1C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53B">
          <w:rPr>
            <w:noProof/>
          </w:rPr>
          <w:t>6</w:t>
        </w:r>
        <w:r>
          <w:fldChar w:fldCharType="end"/>
        </w:r>
      </w:p>
    </w:sdtContent>
  </w:sdt>
  <w:p w:rsidR="008F1C04" w:rsidRDefault="008F1C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B"/>
    <w:rsid w:val="0011153B"/>
    <w:rsid w:val="008F1C04"/>
    <w:rsid w:val="00B9537E"/>
    <w:rsid w:val="00D4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934CD4-696B-4EFA-8585-DC3BAFBC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C04"/>
    <w:rPr>
      <w:b/>
      <w:bCs/>
    </w:rPr>
  </w:style>
  <w:style w:type="paragraph" w:styleId="a5">
    <w:name w:val="header"/>
    <w:basedOn w:val="a"/>
    <w:link w:val="a6"/>
    <w:uiPriority w:val="99"/>
    <w:unhideWhenUsed/>
    <w:rsid w:val="008F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C04"/>
  </w:style>
  <w:style w:type="paragraph" w:styleId="a7">
    <w:name w:val="footer"/>
    <w:basedOn w:val="a"/>
    <w:link w:val="a8"/>
    <w:uiPriority w:val="99"/>
    <w:unhideWhenUsed/>
    <w:rsid w:val="008F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C04"/>
  </w:style>
  <w:style w:type="paragraph" w:styleId="a9">
    <w:name w:val="Balloon Text"/>
    <w:basedOn w:val="a"/>
    <w:link w:val="aa"/>
    <w:uiPriority w:val="99"/>
    <w:semiHidden/>
    <w:unhideWhenUsed/>
    <w:rsid w:val="0011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2015-08-18T13:03:00Z</cp:lastPrinted>
  <dcterms:created xsi:type="dcterms:W3CDTF">2015-08-18T12:47:00Z</dcterms:created>
  <dcterms:modified xsi:type="dcterms:W3CDTF">2015-08-18T13:06:00Z</dcterms:modified>
</cp:coreProperties>
</file>