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D11" w:rsidRDefault="00571D11" w:rsidP="00571D11">
      <w:pPr>
        <w:spacing w:after="0"/>
        <w:jc w:val="center"/>
        <w:rPr>
          <w:rFonts w:ascii="Times New Roman" w:hAnsi="Times New Roman"/>
          <w:b/>
          <w:sz w:val="28"/>
          <w:szCs w:val="28"/>
        </w:rPr>
      </w:pPr>
      <w:r>
        <w:rPr>
          <w:rFonts w:ascii="Times New Roman" w:hAnsi="Times New Roman"/>
          <w:b/>
          <w:sz w:val="28"/>
          <w:szCs w:val="28"/>
        </w:rPr>
        <w:t>2. Совместное с контрольно-счетными органами муниципальных образований Тульской области контрольного мероприятия «Проверка целевого и эффективного использования средств бюджета Тульской области направленных на ремонт (в том числе капитальный ремонт) и оснащение спортивных залов, перепрофилирование аудиторий под спортивные залы для занятий физической культурой и спортом, развитие школьных спортивных клубов, реализующих программы общего образования и расположенных в сельской местности в виде субсидий бюджетам муниципальных образований в рамках подпрограммы «Развитие общего образования Тульской области» государственной программы Тульской области «Развитие образования Тульской области».</w:t>
      </w:r>
    </w:p>
    <w:p w:rsidR="00571D11" w:rsidRDefault="00571D11" w:rsidP="00571D11">
      <w:pPr>
        <w:spacing w:after="0"/>
        <w:jc w:val="center"/>
        <w:rPr>
          <w:rFonts w:ascii="Times New Roman" w:hAnsi="Times New Roman"/>
          <w:b/>
          <w:sz w:val="28"/>
          <w:szCs w:val="28"/>
        </w:rPr>
      </w:pPr>
    </w:p>
    <w:p w:rsidR="00571D11" w:rsidRDefault="00571D11" w:rsidP="00571D11">
      <w:pPr>
        <w:spacing w:after="0"/>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Проведенным в сентябре – октябре 2016 года совместным с контрольно-счетными органами муниципальных образований Тульской области вышеуказанного контрольного мероприятия в нижеследующих общеобразовательных учреждениях Веневского района:</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ab/>
        <w:t>- МОУ «Гурьевский ЦО им. С.К. Иванчикова»;</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 МОУ «Урусовский ЦО»;</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 МОУ «Мордвесский ЦО им. В.Ф. Романова»;</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 МОУ «Анишинская СШ им. А.С. Гостева»;</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 МОУ «Дьяконовская СШ»;</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 МОУ «Рассветовская ОШ»;</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 МОУ «Кукуйский ЦО»;</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ab/>
        <w:t>- МОУ «Грицовский ЦО им. Д.С. Сидорова».</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ab/>
        <w:t>Проверяемый период: 2014 и 2015 годы.</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ab/>
        <w:t>В ходе данного контрольного мероприятия установлены следующие нарушения и недостатки:</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ab/>
        <w:t>1. В заявках администрации муниципального образования Веневский район в адрес министерства образования Тульской области на получение субсидии в соответствии с соглашением от 18.06.2015 № 22-С из бюджета Тульской области на ремонтные работы в спортзалах в МОУ «Гурьевский ЦО им. С.К. Иванчикова» и МОУ «Урусовский ЦО» отсутствовали:</w:t>
      </w:r>
    </w:p>
    <w:p w:rsidR="00571D11" w:rsidRDefault="00571D11" w:rsidP="00571D11">
      <w:pPr>
        <w:tabs>
          <w:tab w:val="left" w:pos="510"/>
          <w:tab w:val="center" w:pos="4677"/>
        </w:tabs>
        <w:spacing w:after="0" w:line="240" w:lineRule="auto"/>
        <w:ind w:left="75"/>
        <w:jc w:val="both"/>
        <w:rPr>
          <w:rFonts w:ascii="Times New Roman" w:hAnsi="Times New Roman"/>
          <w:sz w:val="28"/>
          <w:szCs w:val="28"/>
        </w:rPr>
      </w:pPr>
      <w:r>
        <w:rPr>
          <w:rFonts w:ascii="Times New Roman" w:hAnsi="Times New Roman"/>
          <w:sz w:val="28"/>
          <w:szCs w:val="28"/>
        </w:rPr>
        <w:t xml:space="preserve">        - даты и исходящие номера;</w:t>
      </w:r>
    </w:p>
    <w:p w:rsidR="00571D11" w:rsidRDefault="00571D11" w:rsidP="00571D11">
      <w:pPr>
        <w:tabs>
          <w:tab w:val="left" w:pos="510"/>
          <w:tab w:val="center" w:pos="4677"/>
        </w:tabs>
        <w:spacing w:after="0" w:line="240" w:lineRule="auto"/>
        <w:ind w:left="75"/>
        <w:jc w:val="both"/>
        <w:rPr>
          <w:rFonts w:ascii="Times New Roman" w:hAnsi="Times New Roman"/>
          <w:sz w:val="28"/>
          <w:szCs w:val="28"/>
        </w:rPr>
      </w:pPr>
      <w:r>
        <w:rPr>
          <w:rFonts w:ascii="Times New Roman" w:hAnsi="Times New Roman"/>
          <w:sz w:val="28"/>
          <w:szCs w:val="28"/>
        </w:rPr>
        <w:t xml:space="preserve">        - ссылки на факты предоставления фотоматериалов, отражающие техническое состояние объектов до и после проведения ремонтных работ (п. 3.1. Соглашения от 18.06.2015 № 22-С);</w:t>
      </w:r>
    </w:p>
    <w:p w:rsidR="00571D11" w:rsidRDefault="00571D11" w:rsidP="00571D11">
      <w:pPr>
        <w:tabs>
          <w:tab w:val="left" w:pos="510"/>
          <w:tab w:val="center" w:pos="4677"/>
        </w:tabs>
        <w:spacing w:after="0" w:line="240" w:lineRule="auto"/>
        <w:ind w:left="75"/>
        <w:jc w:val="both"/>
        <w:rPr>
          <w:rFonts w:ascii="Times New Roman" w:hAnsi="Times New Roman"/>
          <w:sz w:val="28"/>
          <w:szCs w:val="28"/>
        </w:rPr>
      </w:pPr>
      <w:r>
        <w:rPr>
          <w:rFonts w:ascii="Times New Roman" w:hAnsi="Times New Roman"/>
          <w:sz w:val="28"/>
          <w:szCs w:val="28"/>
        </w:rPr>
        <w:t xml:space="preserve">        - ссылки на документы, подтверждающие основания заключения контрактов с конкретными подрядчиками (протоколы, составленные в ходе размещения муниципального заказа, либо согласование контрольного комитета Тульской области при размещении заказа у единственного подрядчика (п. 3.1. Соглашения от 18.06.2015 № 22-С).</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2. Не представлены документы, предусмотренные подпунктом б-2 пункта 10 постановления правительства Тульской области от 06.02.2014 № 50 «О предоставлении и распределении субсидий из бюджета Тульской области местным бюджетам», подпунктом 2.3.5. Соглашения от 18.06.2015 № 22-С, пунктами 4.2. муниципальных контрактов на выполнение ремонтных работ спортивных залов:</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 от 28.09.2015 № 03662000356004808-0186813-02 в МОУ «Гурьевский ЦО им. С.К. Иванчикова»;</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 от 08.10.2015 № 0366200035615004824-0186813-03 в МОУ «Урусовский ЦО», </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подтверждающие присутствие представителей министерства образования Тульской области при приемке результатов проведенных ремонтных работ в спортивных залах вышеуказанных общеобразовательных учреждениях.</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3. В ходе проведения контрольных замеров и осмотров качества выполненных работ по капитальному ремонту спортзалов в общеобразовательных учреждениях района установлено:</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  в МОУ «Грицовский ЦО им. Д.С. Сидорова» установлено отсутствие выполненных подрядчиком работ и материальных ценностей, собранных и установленных при осуществлении ремонтных работ в соответствии с предоставленными в ходе контрольного мероприятия утвержденными документами: дефектным актом, локальным сметным расчетом и актом о приемке выполненных работ на общую сумму 237,0 тыс. рублей.</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 в спортзалах МОУ «Грицовский ЦО им. Д.С. Сидорова», в СОУ «Гурьевский ЦО им. С.К. Иванчикова» и МОУ «Мордвесский ЦО им. В.Ф. Романова» наблюдается вздутие специальных напольных покрытий;</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  в спортзале МОУ «Гурьевский ЦО им. С.К. Иванчикова» наблюдается в напольном покрытии значительные впадины, при ходьбе ощущается значительная вибрация пола, в неудовлетворительном состоянии находится возведенная в ходе ремонта отмостка наружной стены спортзала, установлены факты замены отдельных видов работ, неучтенные при подписании заказчиком и подрядчиком акта о приемке выполненных работ на общую сумму 29,4 тыс. рублей.</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Общая стоимость работ, фактически выполненных в ходе проведения ремонтных работ и требующих выполнения подрядчиками гарантийных ремонтов в спортзалах данных общеобразовательных учреждениях составляет в общей сумме 700,9 тыс. рублей.          </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 xml:space="preserve">           4. Отсутствуют акты скрытых работ и сертификаты на материалы, используемые в ходе проведения ремонтных работ в МОУ «Дьяконовская СШ», МОУ «Мордвесский ЦО им. В.Ф. Романова», МОУ «Рассветовская ОШ», МОУ «Анишинская СШ им. А.С. Гостева», МОУ «Кукуйский ЦО».</w:t>
      </w:r>
    </w:p>
    <w:p w:rsidR="00571D11" w:rsidRDefault="00571D11" w:rsidP="00571D11">
      <w:pPr>
        <w:spacing w:after="0" w:line="240" w:lineRule="auto"/>
        <w:jc w:val="both"/>
        <w:rPr>
          <w:rFonts w:ascii="Times New Roman" w:hAnsi="Times New Roman"/>
          <w:sz w:val="28"/>
          <w:szCs w:val="28"/>
        </w:rPr>
      </w:pPr>
      <w:r>
        <w:rPr>
          <w:rFonts w:ascii="Times New Roman" w:hAnsi="Times New Roman"/>
          <w:sz w:val="28"/>
          <w:szCs w:val="28"/>
        </w:rPr>
        <w:tab/>
        <w:t xml:space="preserve">По результатам совместного контрольного мероприятия в адрес администрации муниципального образования Веневский район, комитета по социальным вопросам администрации муниципального образования Веневский район, руководителей общеобразовательных учреждений Веневского района направлены представления с предложением принять </w:t>
      </w:r>
      <w:r>
        <w:rPr>
          <w:rFonts w:ascii="Times New Roman" w:hAnsi="Times New Roman"/>
          <w:sz w:val="28"/>
          <w:szCs w:val="28"/>
        </w:rPr>
        <w:lastRenderedPageBreak/>
        <w:t>следующие меры по устранению и недопущению в дальнейшем вышеизложенных нарушений:</w:t>
      </w:r>
    </w:p>
    <w:p w:rsidR="00571D11" w:rsidRDefault="00571D11" w:rsidP="00571D11">
      <w:pPr>
        <w:tabs>
          <w:tab w:val="left" w:pos="510"/>
          <w:tab w:val="center" w:pos="4677"/>
        </w:tabs>
        <w:spacing w:after="0" w:line="24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1. Проанализировать результаты данного контрольного мероприятия и совместно с комитетом по социальным вопросам администрации и общеобразовательными учреждениями Веневского района принять эффективные меры по устранению выявленных нарушений и недостатков и недопущению их в дальнейшем при использовании средств бюджета Тульской области и средств бюджета муниципального образования Веневский район.</w:t>
      </w:r>
    </w:p>
    <w:p w:rsidR="00571D11" w:rsidRDefault="00571D11" w:rsidP="00571D11">
      <w:pPr>
        <w:tabs>
          <w:tab w:val="left" w:pos="510"/>
          <w:tab w:val="center" w:pos="4677"/>
        </w:tabs>
        <w:spacing w:after="0" w:line="240" w:lineRule="auto"/>
        <w:jc w:val="both"/>
        <w:rPr>
          <w:rFonts w:ascii="Times New Roman" w:hAnsi="Times New Roman"/>
          <w:sz w:val="28"/>
          <w:szCs w:val="28"/>
        </w:rPr>
      </w:pPr>
      <w:r>
        <w:rPr>
          <w:rFonts w:ascii="Times New Roman" w:hAnsi="Times New Roman"/>
          <w:sz w:val="28"/>
          <w:szCs w:val="28"/>
        </w:rPr>
        <w:tab/>
        <w:t>2. При заключении соглашений на выделение средств из бюджета Тульской области и средств бюджета муниципального образования Веневский район на реализацию целевых мероприятий администрации муниципального образования Веневский район и подведомственным учреждениям неукоснительно соблюдать требования соглашений по выделяемым из бюджета Тульской области на софинансирование расходных обязательств в ходе реализации государственных программ Тульской области и муниципальных программ Веневского района, не допускать фактов неправомерных оплат подрядчикам, поставщикам при осуществлении расчетов за поставленные материальные ценности и выполненные работы</w:t>
      </w:r>
    </w:p>
    <w:p w:rsidR="00571D11" w:rsidRDefault="00571D11" w:rsidP="00571D11">
      <w:pPr>
        <w:tabs>
          <w:tab w:val="left" w:pos="510"/>
          <w:tab w:val="center" w:pos="4677"/>
        </w:tabs>
        <w:spacing w:after="0" w:line="240" w:lineRule="auto"/>
        <w:jc w:val="both"/>
        <w:rPr>
          <w:rFonts w:ascii="Times New Roman" w:eastAsia="Times New Roman" w:hAnsi="Times New Roman"/>
          <w:iCs/>
          <w:spacing w:val="-5"/>
          <w:sz w:val="28"/>
          <w:szCs w:val="28"/>
          <w:lang w:eastAsia="ru-RU"/>
        </w:rPr>
      </w:pPr>
      <w:r>
        <w:rPr>
          <w:rFonts w:ascii="Times New Roman" w:hAnsi="Times New Roman"/>
          <w:sz w:val="28"/>
          <w:szCs w:val="28"/>
        </w:rPr>
        <w:tab/>
      </w:r>
      <w:r>
        <w:rPr>
          <w:rFonts w:ascii="Times New Roman" w:eastAsia="Times New Roman" w:hAnsi="Times New Roman"/>
          <w:iCs/>
          <w:spacing w:val="-5"/>
          <w:sz w:val="28"/>
          <w:szCs w:val="28"/>
          <w:lang w:eastAsia="ru-RU"/>
        </w:rPr>
        <w:t>3. Ведя подготовительную работу по осуществлению строительства, реконструкции объектов капитального строительства, их частей, капитального ремонта следует иметь ввиду, что статьей 48 Градостроительного кодекса РФ предусматривается нахождение в проектной документации материалов как в текстовой форме, так и в виде карт (схем), определяющие архитектурные, функционально-технологические, конструктивные и инженерно-технические решения, при этом смета является только частью проектной документации.</w:t>
      </w:r>
    </w:p>
    <w:p w:rsidR="00571D11" w:rsidRDefault="00571D11" w:rsidP="00571D11">
      <w:pPr>
        <w:tabs>
          <w:tab w:val="left" w:pos="510"/>
          <w:tab w:val="center" w:pos="4677"/>
        </w:tabs>
        <w:spacing w:after="0" w:line="240" w:lineRule="auto"/>
        <w:jc w:val="both"/>
        <w:rPr>
          <w:rFonts w:ascii="Times New Roman" w:eastAsia="Times New Roman" w:hAnsi="Times New Roman"/>
          <w:iCs/>
          <w:spacing w:val="-5"/>
          <w:sz w:val="28"/>
          <w:szCs w:val="28"/>
          <w:lang w:eastAsia="ru-RU"/>
        </w:rPr>
      </w:pPr>
      <w:r>
        <w:rPr>
          <w:rFonts w:ascii="Times New Roman" w:eastAsia="Times New Roman" w:hAnsi="Times New Roman"/>
          <w:iCs/>
          <w:spacing w:val="-5"/>
          <w:sz w:val="28"/>
          <w:szCs w:val="28"/>
          <w:lang w:eastAsia="ru-RU"/>
        </w:rPr>
        <w:tab/>
        <w:t>4. Администрации муниципального образования Веневский район, комитету по социальным вопросам администрации муниципального образования Веневский район, подведомственным учреждениям района при оплате подрядчикам выполненных работ требовать предоставления актов скрытых работ, журналов производства работ, сертификатов на применяемые материалы.</w:t>
      </w:r>
    </w:p>
    <w:p w:rsidR="00571D11" w:rsidRDefault="00571D11" w:rsidP="00571D11">
      <w:pPr>
        <w:tabs>
          <w:tab w:val="left" w:pos="510"/>
          <w:tab w:val="center" w:pos="4677"/>
        </w:tabs>
        <w:spacing w:after="0" w:line="240" w:lineRule="auto"/>
        <w:jc w:val="both"/>
        <w:rPr>
          <w:rFonts w:ascii="Times New Roman" w:eastAsia="Times New Roman" w:hAnsi="Times New Roman"/>
          <w:iCs/>
          <w:spacing w:val="-5"/>
          <w:sz w:val="28"/>
          <w:szCs w:val="28"/>
          <w:lang w:eastAsia="ru-RU"/>
        </w:rPr>
      </w:pPr>
      <w:r>
        <w:rPr>
          <w:rFonts w:ascii="Times New Roman" w:eastAsia="Times New Roman" w:hAnsi="Times New Roman"/>
          <w:iCs/>
          <w:spacing w:val="-5"/>
          <w:sz w:val="28"/>
          <w:szCs w:val="28"/>
          <w:lang w:eastAsia="ru-RU"/>
        </w:rPr>
        <w:tab/>
        <w:t>5. В общеобразовательных учреждениях района, где в ходе проведения контрольного мероприятия установлены факты неудовлетворительного качества выполненных ремонтных работ, обязать подрядчиков выполнения гарантированных ремонтов в рамках контрактов, заключенных с данными подрядчиками.</w:t>
      </w:r>
    </w:p>
    <w:p w:rsidR="00571D11" w:rsidRDefault="00571D11" w:rsidP="00571D11">
      <w:pPr>
        <w:tabs>
          <w:tab w:val="left" w:pos="510"/>
          <w:tab w:val="center" w:pos="4677"/>
        </w:tabs>
        <w:spacing w:after="0" w:line="240" w:lineRule="auto"/>
        <w:jc w:val="both"/>
        <w:rPr>
          <w:rFonts w:ascii="Times New Roman" w:eastAsia="Times New Roman" w:hAnsi="Times New Roman"/>
          <w:iCs/>
          <w:spacing w:val="-5"/>
          <w:sz w:val="28"/>
          <w:szCs w:val="28"/>
          <w:lang w:eastAsia="ru-RU"/>
        </w:rPr>
      </w:pPr>
      <w:r>
        <w:rPr>
          <w:rFonts w:ascii="Times New Roman" w:eastAsia="Times New Roman" w:hAnsi="Times New Roman"/>
          <w:iCs/>
          <w:spacing w:val="-5"/>
          <w:sz w:val="28"/>
          <w:szCs w:val="28"/>
          <w:lang w:eastAsia="ru-RU"/>
        </w:rPr>
        <w:tab/>
        <w:t>Материалы данного контрольного мероприятия переданы в Прокуратуру Веневского района.</w:t>
      </w:r>
    </w:p>
    <w:p w:rsidR="00571D11" w:rsidRDefault="00571D11" w:rsidP="00571D11">
      <w:pPr>
        <w:spacing w:after="0"/>
        <w:jc w:val="both"/>
        <w:rPr>
          <w:rFonts w:ascii="Times New Roman" w:hAnsi="Times New Roman"/>
          <w:sz w:val="28"/>
          <w:szCs w:val="28"/>
        </w:rPr>
      </w:pPr>
      <w:r>
        <w:rPr>
          <w:rFonts w:ascii="Times New Roman" w:eastAsia="Times New Roman" w:hAnsi="Times New Roman"/>
          <w:iCs/>
          <w:spacing w:val="-5"/>
          <w:sz w:val="28"/>
          <w:szCs w:val="28"/>
          <w:lang w:eastAsia="ru-RU"/>
        </w:rPr>
        <w:tab/>
        <w:t xml:space="preserve">Подрядчикам, выполнявшим ремонтные работы в спортзалах </w:t>
      </w:r>
      <w:r>
        <w:rPr>
          <w:rFonts w:ascii="Times New Roman" w:hAnsi="Times New Roman"/>
          <w:sz w:val="28"/>
          <w:szCs w:val="28"/>
        </w:rPr>
        <w:t>МОУ «Гурьевский ЦО им. С.К. Иванчикова», МОУ «Грицовский ЦО им. Д.С. Сидорова» и МОУ «Мордвесский ЦО им. В.Ф. Романова» направлены предложения об устранении выявленных фактов некачественных ремонтов в вышеуказанных общеобразовательных центрах.</w:t>
      </w:r>
    </w:p>
    <w:p w:rsidR="00571D11" w:rsidRDefault="00571D11" w:rsidP="00571D11">
      <w:pPr>
        <w:spacing w:after="0"/>
        <w:jc w:val="both"/>
        <w:rPr>
          <w:rFonts w:ascii="Times New Roman" w:hAnsi="Times New Roman"/>
          <w:sz w:val="28"/>
          <w:szCs w:val="28"/>
        </w:rPr>
      </w:pPr>
      <w:r>
        <w:rPr>
          <w:rFonts w:ascii="Times New Roman" w:hAnsi="Times New Roman"/>
          <w:sz w:val="28"/>
          <w:szCs w:val="28"/>
        </w:rPr>
        <w:t xml:space="preserve">          </w:t>
      </w:r>
    </w:p>
    <w:p w:rsidR="006537C2" w:rsidRDefault="006537C2">
      <w:bookmarkStart w:id="0" w:name="_GoBack"/>
      <w:bookmarkEnd w:id="0"/>
    </w:p>
    <w:sectPr w:rsidR="00653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5C"/>
    <w:rsid w:val="00571D11"/>
    <w:rsid w:val="006537C2"/>
    <w:rsid w:val="006F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3FBEE-AB0B-43D0-B743-4F95D266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1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6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2016-12-15T08:19:00Z</dcterms:created>
  <dcterms:modified xsi:type="dcterms:W3CDTF">2016-12-15T08:20:00Z</dcterms:modified>
</cp:coreProperties>
</file>