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EA8" w:rsidRDefault="00B50EA8" w:rsidP="00B50EA8">
      <w:pPr>
        <w:tabs>
          <w:tab w:val="left" w:pos="710"/>
          <w:tab w:val="left" w:pos="3184"/>
          <w:tab w:val="left" w:pos="5618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</w:pPr>
      <w:r w:rsidRPr="00B50EA8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Внешняя проверка бюджетной отчетности главного администратора бюджетных средств – администрации муниципального образования </w:t>
      </w:r>
      <w:r w:rsidR="005035C3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>Грицовское</w:t>
      </w:r>
      <w:r w:rsidRPr="00B50EA8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Веневского района за 2023 год</w:t>
      </w:r>
    </w:p>
    <w:p w:rsidR="00B50EA8" w:rsidRPr="00B50EA8" w:rsidRDefault="00B50EA8" w:rsidP="00B50EA8">
      <w:pPr>
        <w:tabs>
          <w:tab w:val="left" w:pos="710"/>
          <w:tab w:val="left" w:pos="3184"/>
          <w:tab w:val="left" w:pos="5618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35C3" w:rsidRPr="005035C3" w:rsidRDefault="00B50EA8" w:rsidP="005035C3">
      <w:pPr>
        <w:tabs>
          <w:tab w:val="left" w:pos="710"/>
          <w:tab w:val="left" w:pos="3184"/>
          <w:tab w:val="left" w:pos="5618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5035C3" w:rsidRPr="005035C3">
        <w:rPr>
          <w:rFonts w:ascii="Times New Roman" w:eastAsia="Calibri" w:hAnsi="Times New Roman" w:cs="Times New Roman"/>
          <w:sz w:val="28"/>
          <w:szCs w:val="28"/>
        </w:rPr>
        <w:t>В ходе проведенной внешней проверки годовой бюджетной отчетности Учреждения Контрольно-счетной палатой муниципального образования Веневский район установлено следующее:</w:t>
      </w:r>
    </w:p>
    <w:p w:rsidR="005035C3" w:rsidRPr="005035C3" w:rsidRDefault="005035C3" w:rsidP="005035C3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5C3">
        <w:rPr>
          <w:rFonts w:ascii="Times New Roman" w:eastAsia="Calibri" w:hAnsi="Times New Roman" w:cs="Times New Roman"/>
          <w:sz w:val="28"/>
          <w:szCs w:val="28"/>
        </w:rPr>
        <w:tab/>
        <w:t>1. Отчет представлен в Контрольно-счетную палату для проведения его внешней проверки и подготовки заключения в установленный срок.</w:t>
      </w:r>
    </w:p>
    <w:p w:rsidR="005035C3" w:rsidRPr="005035C3" w:rsidRDefault="005035C3" w:rsidP="005035C3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5C3">
        <w:rPr>
          <w:rFonts w:ascii="Times New Roman" w:eastAsia="Calibri" w:hAnsi="Times New Roman" w:cs="Times New Roman"/>
          <w:sz w:val="28"/>
          <w:szCs w:val="28"/>
        </w:rPr>
        <w:t xml:space="preserve">          2. Отчетность представлена на бумажных носителях в сброшюрованном виде и с сопроводительным письмом, а также в виде электронного документа, путем передачи по телекоммуникационным каналам связи.</w:t>
      </w:r>
    </w:p>
    <w:p w:rsidR="005035C3" w:rsidRPr="005035C3" w:rsidRDefault="005035C3" w:rsidP="005035C3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5C3">
        <w:rPr>
          <w:rFonts w:ascii="Times New Roman" w:eastAsia="Calibri" w:hAnsi="Times New Roman" w:cs="Times New Roman"/>
          <w:sz w:val="28"/>
          <w:szCs w:val="28"/>
        </w:rPr>
        <w:tab/>
        <w:t xml:space="preserve">3. Перед составлением годовой бюджетной отчетности проведена инвентаризация активов и обязательств в соответствии с п. 7 Инструкции               № 191н. Излишков (недостач) не установлено. </w:t>
      </w:r>
    </w:p>
    <w:p w:rsidR="005035C3" w:rsidRPr="005035C3" w:rsidRDefault="005035C3" w:rsidP="005035C3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35C3">
        <w:rPr>
          <w:rFonts w:ascii="Times New Roman" w:eastAsia="Calibri" w:hAnsi="Times New Roman" w:cs="Times New Roman"/>
          <w:sz w:val="28"/>
          <w:szCs w:val="28"/>
        </w:rPr>
        <w:tab/>
        <w:t>4. Проверкой контрольных соотношений показателей форм бюджетной отчетности, проведенной в соответствии с рекомендациями Федерального казначейства расхождений не установлено.</w:t>
      </w:r>
    </w:p>
    <w:p w:rsidR="005035C3" w:rsidRPr="005035C3" w:rsidRDefault="005035C3" w:rsidP="005035C3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5C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035C3">
        <w:rPr>
          <w:rFonts w:ascii="Times New Roman" w:eastAsia="Calibri" w:hAnsi="Times New Roman" w:cs="Times New Roman"/>
          <w:sz w:val="28"/>
          <w:szCs w:val="28"/>
        </w:rPr>
        <w:t>5. Показатели Отчета об исполнении бюджета ф. 0503127 раздела 2 «Расходы бюджета» на 01.01.2023 соответствуют объемам бюджетных назначений, закрепленных в приложении 3 «Ведомственная структура расходов местного бюджета на 2023 год и на плановый период 2024 и         2025 годов» к Решению о бюджете МО Грицовское Веневского района.</w:t>
      </w:r>
    </w:p>
    <w:p w:rsidR="005035C3" w:rsidRPr="005035C3" w:rsidRDefault="005035C3" w:rsidP="005035C3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5C3">
        <w:rPr>
          <w:rFonts w:ascii="Times New Roman" w:eastAsia="Calibri" w:hAnsi="Times New Roman" w:cs="Times New Roman"/>
          <w:sz w:val="28"/>
          <w:szCs w:val="28"/>
        </w:rPr>
        <w:tab/>
        <w:t>6. Проверкой соответствия плановых показателей ф. 05030127 и показателей, утвержденных Решением Собрания депутатов МО Грицовское Веневского района от 15.12.2022 г. № 50/111 «О бюджете муниципального образования Грицовское Веневского района на 2023 год и на плановый период 2024 и 2025 годов» (с изменениями), расхождений не установлено.</w:t>
      </w:r>
    </w:p>
    <w:p w:rsidR="005035C3" w:rsidRPr="005035C3" w:rsidRDefault="005035C3" w:rsidP="005035C3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5C3">
        <w:rPr>
          <w:rFonts w:ascii="Times New Roman" w:eastAsia="Calibri" w:hAnsi="Times New Roman" w:cs="Times New Roman"/>
          <w:sz w:val="28"/>
          <w:szCs w:val="28"/>
        </w:rPr>
        <w:tab/>
        <w:t>7. Бюджетные назначения по доходам исполнены в размере                             20 438,9 тыс. руб. или 102,9% к уточненным бюджетным назначениям. Расходы исполнены в размере 21 699,4 тыс. руб. или 99,4% от уточненных на год бюджетных ассигнований. Дефицит бюджета за 2023 год составил                    1 260,5 тыс. рублей.</w:t>
      </w:r>
    </w:p>
    <w:p w:rsidR="005035C3" w:rsidRPr="005035C3" w:rsidRDefault="005035C3" w:rsidP="005035C3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5C3">
        <w:rPr>
          <w:rFonts w:ascii="Times New Roman" w:eastAsia="Calibri" w:hAnsi="Times New Roman" w:cs="Times New Roman"/>
          <w:sz w:val="28"/>
          <w:szCs w:val="28"/>
        </w:rPr>
        <w:tab/>
        <w:t>8. Дебиторская задолженность по бюджетной деятельности на 01.01.2024 года составила 39 413,2 рублей. Кредиторская задолженность на 01.01.2023 года – 26 761,10 рублей.</w:t>
      </w:r>
    </w:p>
    <w:p w:rsidR="005035C3" w:rsidRPr="005035C3" w:rsidRDefault="005035C3" w:rsidP="005035C3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5C3">
        <w:rPr>
          <w:rFonts w:ascii="Times New Roman" w:eastAsia="Calibri" w:hAnsi="Times New Roman" w:cs="Times New Roman"/>
          <w:sz w:val="28"/>
          <w:szCs w:val="28"/>
        </w:rPr>
        <w:tab/>
        <w:t>Просроченная дебиторская и кредиторская задолженности по данным бюджетной отчетности на 01.01.2023 года не числится.</w:t>
      </w:r>
    </w:p>
    <w:p w:rsidR="005035C3" w:rsidRPr="005035C3" w:rsidRDefault="005035C3" w:rsidP="005035C3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5C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Pr="005035C3">
        <w:rPr>
          <w:rFonts w:ascii="Times New Roman" w:eastAsia="Calibri" w:hAnsi="Times New Roman" w:cs="Times New Roman"/>
          <w:sz w:val="28"/>
          <w:szCs w:val="28"/>
        </w:rPr>
        <w:tab/>
        <w:t xml:space="preserve">9. В нарушение п. 152 Инструкции № 191н в Пояснительной записке            </w:t>
      </w:r>
      <w:proofErr w:type="gramStart"/>
      <w:r w:rsidRPr="005035C3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gramEnd"/>
      <w:r w:rsidRPr="005035C3">
        <w:rPr>
          <w:rFonts w:ascii="Times New Roman" w:eastAsia="Calibri" w:hAnsi="Times New Roman" w:cs="Times New Roman"/>
          <w:sz w:val="28"/>
          <w:szCs w:val="28"/>
        </w:rPr>
        <w:t>ф. 0503160) отсутствует нижеследующая информация:</w:t>
      </w:r>
    </w:p>
    <w:p w:rsidR="005035C3" w:rsidRPr="005035C3" w:rsidRDefault="005035C3" w:rsidP="005035C3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5C3">
        <w:rPr>
          <w:rFonts w:ascii="Times New Roman" w:eastAsia="Calibri" w:hAnsi="Times New Roman" w:cs="Times New Roman"/>
          <w:sz w:val="28"/>
          <w:szCs w:val="28"/>
        </w:rPr>
        <w:tab/>
        <w:t>- раздел 1 «Организационная структура субъекта бюджетной отчетности» и Таблица 1 «Сведения о направлениях деятельности»;</w:t>
      </w:r>
    </w:p>
    <w:p w:rsidR="005035C3" w:rsidRPr="005035C3" w:rsidRDefault="005035C3" w:rsidP="005035C3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5C3">
        <w:rPr>
          <w:rFonts w:ascii="Times New Roman" w:eastAsia="Calibri" w:hAnsi="Times New Roman" w:cs="Times New Roman"/>
          <w:sz w:val="28"/>
          <w:szCs w:val="28"/>
        </w:rPr>
        <w:tab/>
        <w:t>- раздел 2 «Результаты деятельности субъекта бюджетной отчетности» в котором должна отражаться информация, оказывающая существенное влияние и характеризующую результаты деятельности субъекта бюджетной отчетности за отчетный период, не нашедшую отражения в таблицах и приложениях;</w:t>
      </w:r>
    </w:p>
    <w:p w:rsidR="005035C3" w:rsidRPr="005035C3" w:rsidRDefault="005035C3" w:rsidP="005035C3">
      <w:pPr>
        <w:tabs>
          <w:tab w:val="left" w:pos="709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5C3">
        <w:rPr>
          <w:rFonts w:ascii="Times New Roman" w:eastAsia="Calibri" w:hAnsi="Times New Roman" w:cs="Times New Roman"/>
          <w:sz w:val="28"/>
          <w:szCs w:val="28"/>
        </w:rPr>
        <w:tab/>
        <w:t>- в разделе 4 «Анализ показателей бухгалтерской отчетности субъекта бюджетной отчетности» отсутствуют аналитические данные, отражение которых необходимо показывать в Сведениях о принятых и неиспользованных обязательствах получателя бюджетных средств (ф. 0503175), в том числе данные об экономии при заключении муниципальных контрактов с применением конкурентных способов, а также у единственного поставщика;</w:t>
      </w:r>
    </w:p>
    <w:p w:rsidR="005035C3" w:rsidRPr="005035C3" w:rsidRDefault="005035C3" w:rsidP="005035C3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5C3">
        <w:rPr>
          <w:rFonts w:ascii="Times New Roman" w:eastAsia="Calibri" w:hAnsi="Times New Roman" w:cs="Times New Roman"/>
          <w:sz w:val="28"/>
          <w:szCs w:val="28"/>
        </w:rPr>
        <w:tab/>
        <w:t>- раздел 5 «Прочие вопросы деятельности субъекта бюджетной отчетности» в котором отражаются нормативно-правовые документы, в соответствии с которыми ведется бухгалтерский учет в учреждении, проведение текущего контроля состояния финансово-хозяйственной деятельности путем проведения инвентаризации финансовых и нефинансовых активов, составления актов сверок взаимных расчетов с поставщиками, отсутствует определенный пунктом 8 Инструкции № 191н необходимый перечень форм бюджетной отчетности, которые не имеют числового значения.</w:t>
      </w:r>
    </w:p>
    <w:p w:rsidR="005035C3" w:rsidRPr="005035C3" w:rsidRDefault="005035C3" w:rsidP="005035C3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5C3">
        <w:rPr>
          <w:rFonts w:ascii="Times New Roman" w:eastAsia="Calibri" w:hAnsi="Times New Roman" w:cs="Times New Roman"/>
          <w:sz w:val="28"/>
          <w:szCs w:val="28"/>
        </w:rPr>
        <w:tab/>
        <w:t>10. Существенных фактов, способных негативно повлиять на достоверность бюджетной отчетности, не установлено.</w:t>
      </w:r>
    </w:p>
    <w:p w:rsidR="005035C3" w:rsidRPr="005035C3" w:rsidRDefault="005035C3" w:rsidP="005035C3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35C3" w:rsidRPr="005035C3" w:rsidRDefault="005035C3" w:rsidP="005035C3">
      <w:pPr>
        <w:tabs>
          <w:tab w:val="left" w:pos="710"/>
          <w:tab w:val="left" w:pos="3184"/>
          <w:tab w:val="left" w:pos="5618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35C3">
        <w:rPr>
          <w:rFonts w:ascii="Times New Roman" w:eastAsia="Calibri" w:hAnsi="Times New Roman" w:cs="Times New Roman"/>
          <w:b/>
          <w:sz w:val="28"/>
          <w:szCs w:val="28"/>
        </w:rPr>
        <w:t>Предложения</w:t>
      </w:r>
    </w:p>
    <w:p w:rsidR="005035C3" w:rsidRPr="005035C3" w:rsidRDefault="005035C3" w:rsidP="005035C3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5C3">
        <w:rPr>
          <w:rFonts w:ascii="Times New Roman" w:eastAsia="Calibri" w:hAnsi="Times New Roman" w:cs="Times New Roman"/>
          <w:sz w:val="28"/>
          <w:szCs w:val="28"/>
        </w:rPr>
        <w:tab/>
        <w:t>1. Провести детальный анализ замечаний по вопросам бюджетного учета и отчетности, выявленных при проведении внешней проверки годовой бюджетной отчетности.</w:t>
      </w:r>
    </w:p>
    <w:p w:rsidR="005035C3" w:rsidRPr="005035C3" w:rsidRDefault="005035C3" w:rsidP="005035C3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5C3">
        <w:rPr>
          <w:rFonts w:ascii="Times New Roman" w:eastAsia="Calibri" w:hAnsi="Times New Roman" w:cs="Times New Roman"/>
          <w:sz w:val="28"/>
          <w:szCs w:val="28"/>
        </w:rPr>
        <w:tab/>
        <w:t xml:space="preserve">2. Обратить внимание на информативность Пояснительной записки          </w:t>
      </w:r>
      <w:proofErr w:type="gramStart"/>
      <w:r w:rsidRPr="005035C3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gramEnd"/>
      <w:r w:rsidRPr="005035C3">
        <w:rPr>
          <w:rFonts w:ascii="Times New Roman" w:eastAsia="Calibri" w:hAnsi="Times New Roman" w:cs="Times New Roman"/>
          <w:sz w:val="28"/>
          <w:szCs w:val="28"/>
        </w:rPr>
        <w:t>ф. 0503160).</w:t>
      </w:r>
    </w:p>
    <w:p w:rsidR="005035C3" w:rsidRPr="005035C3" w:rsidRDefault="005035C3" w:rsidP="005035C3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5C3">
        <w:rPr>
          <w:rFonts w:ascii="Times New Roman" w:eastAsia="Calibri" w:hAnsi="Times New Roman" w:cs="Times New Roman"/>
          <w:sz w:val="28"/>
          <w:szCs w:val="28"/>
        </w:rPr>
        <w:tab/>
        <w:t>3. Не допускать нарушений Инструкции о порядке составления и представления годовой, квартальной и месячной отчетности об исполнении бюджетов бюджетной системы РФ при составлении годовой бюджетной отчетности, утвержденной Приказом Минфина России от 28.12.2010 № 191н (с учетом дополнений и изменений).</w:t>
      </w:r>
    </w:p>
    <w:p w:rsidR="005035C3" w:rsidRPr="005035C3" w:rsidRDefault="005035C3" w:rsidP="005035C3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35C3">
        <w:rPr>
          <w:rFonts w:ascii="Times New Roman" w:eastAsia="Calibri" w:hAnsi="Times New Roman" w:cs="Times New Roman"/>
          <w:sz w:val="28"/>
          <w:szCs w:val="28"/>
        </w:rPr>
        <w:tab/>
        <w:t xml:space="preserve">4. Обеспечить дальнейший контроль по представлению бюджетной отчетности в полном объеме и корректного заполнения форм отчетности в соответствии с положениями Инструкции «О порядке составления и </w:t>
      </w:r>
      <w:r w:rsidRPr="005035C3">
        <w:rPr>
          <w:rFonts w:ascii="Times New Roman" w:eastAsia="Calibri" w:hAnsi="Times New Roman" w:cs="Times New Roman"/>
          <w:sz w:val="28"/>
          <w:szCs w:val="28"/>
        </w:rPr>
        <w:lastRenderedPageBreak/>
        <w:t>представления годовой, квартальной и месячной отчетности об исполнении бюджетов бюджетной системы Российской Федерации» от 28.10.2010 года     № 191н (с изменениями).</w:t>
      </w:r>
      <w:r w:rsidRPr="005035C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50EA8" w:rsidRPr="00B50EA8" w:rsidRDefault="00B50EA8" w:rsidP="005035C3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766E8F" w:rsidRDefault="00766E8F"/>
    <w:sectPr w:rsidR="00766E8F" w:rsidSect="00B50EA8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CE"/>
    <w:rsid w:val="001B5FCE"/>
    <w:rsid w:val="005035C3"/>
    <w:rsid w:val="00766E8F"/>
    <w:rsid w:val="00B5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3E4610-687C-4FDA-8D8A-8BDD430E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721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2024-11-08T08:41:00Z</dcterms:created>
  <dcterms:modified xsi:type="dcterms:W3CDTF">2024-11-08T08:51:00Z</dcterms:modified>
</cp:coreProperties>
</file>