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4A" w:rsidRDefault="00AF4081" w:rsidP="00AF40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081">
        <w:rPr>
          <w:rFonts w:ascii="Times New Roman" w:eastAsia="Calibri" w:hAnsi="Times New Roman" w:cs="Times New Roman"/>
          <w:b/>
          <w:sz w:val="28"/>
          <w:szCs w:val="28"/>
        </w:rPr>
        <w:t>Внешняя проверка бюджетной отчетности подведомственных бюджетных учреждений главного администратора бюджетных средств - Комитета по социальным вопросам администрации муниципального образования Веневский район за 2022 год</w:t>
      </w:r>
    </w:p>
    <w:p w:rsidR="00AF4081" w:rsidRDefault="00AF4081" w:rsidP="00AF40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081">
        <w:rPr>
          <w:rFonts w:ascii="Times New Roman" w:eastAsia="Calibri" w:hAnsi="Times New Roman" w:cs="Times New Roman"/>
          <w:sz w:val="28"/>
          <w:szCs w:val="28"/>
        </w:rPr>
        <w:t xml:space="preserve">          В ходе проведения внешней проверки годовой бюджетной отчетности установлено следующее: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Pr="00AF4081">
        <w:rPr>
          <w:rFonts w:ascii="Times New Roman" w:eastAsia="Calibri" w:hAnsi="Times New Roman" w:cs="Times New Roman"/>
          <w:sz w:val="28"/>
          <w:szCs w:val="28"/>
        </w:rPr>
        <w:t>1. Отчет представлен в Контрольно-счетную палату, для проведения его внешней проверки и подготовки заключения в установленный срок.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081">
        <w:rPr>
          <w:rFonts w:ascii="Times New Roman" w:eastAsia="Calibri" w:hAnsi="Times New Roman" w:cs="Times New Roman"/>
          <w:sz w:val="28"/>
          <w:szCs w:val="28"/>
        </w:rPr>
        <w:tab/>
        <w:t>2. Отчетность представлена на бумажных носителях в сброшюрованном и сопроводительным письмом, а также в виде электронного документа, путем передачи по телекоммуникационным каналам связи.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081">
        <w:rPr>
          <w:rFonts w:ascii="Times New Roman" w:eastAsia="Calibri" w:hAnsi="Times New Roman" w:cs="Times New Roman"/>
          <w:sz w:val="28"/>
          <w:szCs w:val="28"/>
        </w:rPr>
        <w:tab/>
        <w:t xml:space="preserve">3. Перед составлением годовой бюджетной отчетности проведена инвентаризация активов и обязательств в соответствии с п. 7 Инструкции               № 191н. 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4081">
        <w:rPr>
          <w:rFonts w:ascii="Times New Roman" w:eastAsia="Calibri" w:hAnsi="Times New Roman" w:cs="Times New Roman"/>
          <w:sz w:val="28"/>
          <w:szCs w:val="28"/>
        </w:rPr>
        <w:tab/>
        <w:t>4. Проверкой контрольных соотношений показателей форм бюджетной отчетности, проведенной в соответствии с рекомендациями Федерального казначейства расхождений не установлено.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081">
        <w:rPr>
          <w:rFonts w:ascii="Times New Roman" w:eastAsia="Calibri" w:hAnsi="Times New Roman" w:cs="Times New Roman"/>
          <w:sz w:val="28"/>
          <w:szCs w:val="28"/>
        </w:rPr>
        <w:tab/>
        <w:t>5. Лимиты бюджетных ассигнований по бюджетной деятельности на 2022 год: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081">
        <w:rPr>
          <w:rFonts w:ascii="Times New Roman" w:eastAsia="Calibri" w:hAnsi="Times New Roman" w:cs="Times New Roman"/>
          <w:sz w:val="28"/>
          <w:szCs w:val="28"/>
        </w:rPr>
        <w:tab/>
        <w:t>- по собственным доходам утверждены в сумме 2 859 610,51 руб., исполнение составило 2 370 351, 44 руб. или 83,0% от плановых назначений;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081">
        <w:rPr>
          <w:rFonts w:ascii="Times New Roman" w:eastAsia="Calibri" w:hAnsi="Times New Roman" w:cs="Times New Roman"/>
          <w:sz w:val="28"/>
          <w:szCs w:val="28"/>
        </w:rPr>
        <w:tab/>
        <w:t>- по субсидиям на выполнение государственного (муниципального) задания утверждены в сумме 67 193 915,27 руб., исполнение составило 66 998 260,88 руб. или 99,7% от плановых назначений;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081">
        <w:rPr>
          <w:rFonts w:ascii="Times New Roman" w:eastAsia="Calibri" w:hAnsi="Times New Roman" w:cs="Times New Roman"/>
          <w:sz w:val="28"/>
          <w:szCs w:val="28"/>
        </w:rPr>
        <w:tab/>
        <w:t>- по субсидиям на иные цели утверждены в сумме 204 600 89,25 руб., исполнение составило 201 761 260,53 руб. или 98,6% от плановых назначений.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081">
        <w:rPr>
          <w:rFonts w:ascii="Times New Roman" w:eastAsia="Calibri" w:hAnsi="Times New Roman" w:cs="Times New Roman"/>
          <w:sz w:val="28"/>
          <w:szCs w:val="28"/>
        </w:rPr>
        <w:tab/>
        <w:t>6. Балансовая стоимость основных средств на конец отчетного периода составила 140 838 415,70 руб., увеличение по сравнению с балансовой стоимостью на начало отчетного периода на 25 935 719,85 рублей. По материальным запасам произошло их увеличение на конец 2022 года на сумму 368 808,21 руб. и составили в сумме 3 648 361,05 руб. Денежные средства учреждений по состоянию на 01.01.2023 года уменьшились на 8 872,25 руб. и составили в сумме 14 712,24 руб. Вложения в нефинансовые активы в 2022 году не производилось.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081">
        <w:rPr>
          <w:rFonts w:ascii="Times New Roman" w:eastAsia="Calibri" w:hAnsi="Times New Roman" w:cs="Times New Roman"/>
          <w:sz w:val="28"/>
          <w:szCs w:val="28"/>
        </w:rPr>
        <w:tab/>
        <w:t xml:space="preserve">7. Дебиторская задолженность по доходам на 01.01.2023 года составила 288 679 648,92 руб., уменьшение по сравнению с 2021 годом на                  71 103 21,47 руб. Дебиторская задолженность по выплатам на конец отчетного периода уменьшилась на 202 765,72 руб. и составила 135 280,85 рублей. 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081">
        <w:rPr>
          <w:rFonts w:ascii="Times New Roman" w:eastAsia="Calibri" w:hAnsi="Times New Roman" w:cs="Times New Roman"/>
          <w:sz w:val="28"/>
          <w:szCs w:val="28"/>
        </w:rPr>
        <w:lastRenderedPageBreak/>
        <w:tab/>
        <w:t>8. Кредиторская задолженность по выплатам по состоянию на 01.01.2023 года увеличилась на 55 609,27 руб. и составила 2 115 681,06 рублей.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081">
        <w:rPr>
          <w:rFonts w:ascii="Times New Roman" w:eastAsia="Calibri" w:hAnsi="Times New Roman" w:cs="Times New Roman"/>
          <w:sz w:val="28"/>
          <w:szCs w:val="28"/>
        </w:rPr>
        <w:tab/>
        <w:t>9. Просроченная дебиторская и кредиторская задолженности по данным бюджетной отчетности на 01.01.2023 года не числится.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081">
        <w:rPr>
          <w:rFonts w:ascii="Times New Roman" w:eastAsia="Calibri" w:hAnsi="Times New Roman" w:cs="Times New Roman"/>
          <w:sz w:val="28"/>
          <w:szCs w:val="28"/>
        </w:rPr>
        <w:tab/>
        <w:t>10. Текстовая часть пояснительной записки (ф. 0503760) не в полном объеме раскрывает содержание ряда операций, отдельные обязательные вопросы не отражены.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081">
        <w:rPr>
          <w:rFonts w:ascii="Times New Roman" w:eastAsia="Calibri" w:hAnsi="Times New Roman" w:cs="Times New Roman"/>
          <w:sz w:val="28"/>
          <w:szCs w:val="28"/>
        </w:rPr>
        <w:tab/>
        <w:t>11. Существенных фактов, способных негативно повлиять на достоверность бюджетной отчетности, не установлено.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081"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081">
        <w:rPr>
          <w:rFonts w:ascii="Times New Roman" w:eastAsia="Calibri" w:hAnsi="Times New Roman" w:cs="Times New Roman"/>
          <w:sz w:val="28"/>
          <w:szCs w:val="28"/>
        </w:rPr>
        <w:tab/>
        <w:t>1. Провести детальный анализ замечаний по вопросам бюджетного учета и отчетности, выявленных при проведении внешней проверки годовой бюджетной отчетности.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081">
        <w:rPr>
          <w:rFonts w:ascii="Times New Roman" w:eastAsia="Calibri" w:hAnsi="Times New Roman" w:cs="Times New Roman"/>
          <w:sz w:val="28"/>
          <w:szCs w:val="28"/>
        </w:rPr>
        <w:tab/>
        <w:t>2. Обратить внимание на информативность Пояснительной записки.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081">
        <w:rPr>
          <w:rFonts w:ascii="Times New Roman" w:eastAsia="Calibri" w:hAnsi="Times New Roman" w:cs="Times New Roman"/>
          <w:sz w:val="28"/>
          <w:szCs w:val="28"/>
        </w:rPr>
        <w:tab/>
        <w:t>3. Не допускать нарушений Инструкции о порядке составления и представления годовой, квартальной и месячной отчетности об исполнении бюджетов бюджетной системы РФ при составлении годовой бюджетной отчетности, утвержденной Приказом Минфина России от 28.12.2010 № 191н.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081">
        <w:rPr>
          <w:rFonts w:ascii="Times New Roman" w:eastAsia="Calibri" w:hAnsi="Times New Roman" w:cs="Times New Roman"/>
          <w:sz w:val="28"/>
          <w:szCs w:val="28"/>
        </w:rPr>
        <w:tab/>
        <w:t>4. Обеспечить дальнейший контроль по представлению бюджетной отчетности в полном объеме и корректного заполнения форм отчетности в соответствии с положениями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от 28.10.2010 года           № 191н (с изменениями).</w:t>
      </w:r>
      <w:r w:rsidRPr="00AF4081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AF4081" w:rsidRPr="00AF4081" w:rsidRDefault="00AF4081" w:rsidP="00AF4081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081" w:rsidRPr="00AF4081" w:rsidRDefault="00AF4081" w:rsidP="00AF4081">
      <w:pPr>
        <w:spacing w:after="0"/>
        <w:jc w:val="both"/>
        <w:rPr>
          <w:sz w:val="28"/>
          <w:szCs w:val="28"/>
        </w:rPr>
      </w:pPr>
    </w:p>
    <w:sectPr w:rsidR="00AF4081" w:rsidRPr="00AF4081" w:rsidSect="00D74DF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62"/>
    <w:rsid w:val="000E6FA2"/>
    <w:rsid w:val="00144A89"/>
    <w:rsid w:val="0035464D"/>
    <w:rsid w:val="00A42A62"/>
    <w:rsid w:val="00AF4081"/>
    <w:rsid w:val="00CE2E4A"/>
    <w:rsid w:val="00D7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CB547B-8BDA-442B-88EF-877B1424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2023-05-11T08:20:00Z</dcterms:created>
  <dcterms:modified xsi:type="dcterms:W3CDTF">2023-05-11T08:42:00Z</dcterms:modified>
</cp:coreProperties>
</file>