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ind w:left="0" w:right="0" w:firstLine="709"/>
        <w:jc w:val="center"/>
        <w:rPr>
          <w:rFonts w:ascii="Times New Roman" w:hAnsi="Times New Roman" w:eastAsia="Calibri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en-US"/>
        </w:rPr>
        <w:t>Аналитическая записка по развитию субъектов МСП</w:t>
      </w:r>
    </w:p>
    <w:p>
      <w:pPr>
        <w:pStyle w:val="Normal"/>
        <w:widowControl/>
        <w:bidi w:val="0"/>
        <w:spacing w:lineRule="auto" w:line="240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квартал 2020 года</w:t>
      </w:r>
    </w:p>
    <w:p>
      <w:pPr>
        <w:pStyle w:val="Normal"/>
        <w:bidi w:val="0"/>
        <w:spacing w:lineRule="auto" w:line="240"/>
        <w:ind w:left="0" w:right="0" w:firstLine="709"/>
        <w:jc w:val="center"/>
        <w:rPr>
          <w:rFonts w:ascii="Times New Roman" w:hAnsi="Times New Roman"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  <w:lang w:eastAsia="en-US"/>
        </w:rPr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  <w:lang w:eastAsia="en-US"/>
        </w:rPr>
        <w:t>По состоянию на 1 января 2021 года в муниципальном образовании Веневский район насчитывалось 1072 субъекта малого и среднего предпринимательства, из них 856 индивидуальных предпринимателя, что на 5,1% больше аналогичного уровня 2019 г.</w:t>
      </w:r>
    </w:p>
    <w:p>
      <w:pPr>
        <w:pStyle w:val="Normal"/>
        <w:bidi w:val="0"/>
        <w:spacing w:lineRule="auto" w:line="240"/>
        <w:ind w:left="0" w:right="0"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Количество субъектов малого и среднего предпринимательства на 1000 жителей за 2020 год составило 34,6 что на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  <w:lang w:eastAsia="en-US"/>
        </w:rPr>
        <w:t>1,5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  <w:lang w:eastAsia="en-US"/>
        </w:rPr>
        <w:t>% больше аналогичного уровня 2019 года (2019 год-34,1).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Структура малых и средних предприятий по видам экономической деятельности в течение ряда лет остается практически неизменной. Сфера оптовой и розничной торговли в связи с достаточно высокой оборачиваемостью капитала является наиболее востребованной в малом и среднем бизнесе. Удельный вес предприятий оптовой и розничной торговли в общем количестве малых и средних предприятий района составляет 30%, сельскохозяйственных предприятий – 20% и обрабатывающих производств в пределах 10-12%.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highlight w:val="white"/>
          <w:lang w:eastAsia="en-US"/>
        </w:rPr>
        <w:t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 по итогам 2020 года составил 40770,0 тыс. руб., 93,</w:t>
      </w:r>
      <w:r>
        <w:rPr>
          <w:rFonts w:eastAsia="Calibri" w:ascii="Times New Roman" w:hAnsi="Times New Roman"/>
          <w:sz w:val="28"/>
          <w:szCs w:val="28"/>
          <w:highlight w:val="white"/>
          <w:lang w:eastAsia="en-US"/>
        </w:rPr>
        <w:t>0</w:t>
      </w:r>
      <w:r>
        <w:rPr>
          <w:rFonts w:eastAsia="Calibri" w:ascii="Times New Roman" w:hAnsi="Times New Roman"/>
          <w:sz w:val="28"/>
          <w:szCs w:val="28"/>
          <w:highlight w:val="white"/>
          <w:lang w:eastAsia="en-US"/>
        </w:rPr>
        <w:t>% к уровню 2019 года (2019 г. - 43 828,0 тыс. руб.).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В целях совершенствования и развития малого и среднего предпринимательства в Веневском районе проводится работа по реализации следующих запланированных мероприятий муниципальной программы «Развитие субъектов малого и среднего предпринимательства, поддержка социально ориентированных некоммерческих организаций и самозанятых граждан, улучшение инвестиционного климата в муниципальном образовании Веневский район»: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- оказание поддержки начинающим субъектам малого     предпринимательства, объем финансирования запланирован в размере 100 тыс. рублей ежегодно;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- содействие развитию социального предпринимательства, объем финансирования - 50 тыс. рублей ежегодно;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- финансовая поддержка субъектов малого и среднего предпринимательства в виде займов, выдаваемых Веневским фондом поддержки - 2 млн. руб. ежегодно;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- расширение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предпринимательства;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- оказание консультационной, информационной и образовательной поддержки предпринимателям;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>- привлечение субъектов малого и среднего предпринимательства к выполнению муниципальных заказов на производство продукции, выполнения работ, оказание услуг для муниципальных нужд.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По итогам 12 месяцев 2020 года количество получателей поддержки составило 115 человек: 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b w:val="false"/>
          <w:b w:val="false"/>
          <w:bCs w:val="false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>- консультационная – 83;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b w:val="false"/>
          <w:b w:val="false"/>
          <w:bCs w:val="false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>- образовательная поддержка – 30;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eastAsia="Calibri"/>
          <w:b w:val="false"/>
          <w:b w:val="false"/>
          <w:bCs w:val="false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b w:val="false"/>
          <w:bCs w:val="false"/>
          <w:sz w:val="28"/>
          <w:szCs w:val="28"/>
          <w:shd w:fill="FFFFFF" w:val="clear"/>
          <w:lang w:eastAsia="en-US"/>
        </w:rPr>
        <w:t>- имущественная - 2.</w:t>
      </w:r>
    </w:p>
    <w:p>
      <w:pPr>
        <w:pStyle w:val="Normal"/>
        <w:bidi w:val="0"/>
        <w:spacing w:lineRule="auto" w:line="240"/>
        <w:ind w:left="0" w:right="0" w:firstLine="709"/>
        <w:jc w:val="center"/>
        <w:rPr>
          <w:b/>
          <w:b/>
          <w:bCs/>
          <w:highlight w:val="whit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Потребительский рынок 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По состоянию на 01.01.2021 обеспеченность населения торговыми площадями составила 839 кв. метров на 1 тыс. человек при суммарном нормативе минимальной обеспеченности для муниципального образования - 428 кв. м на 1 тыс. человек.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На территории района функционируют три ярмарки: 2 ярмарки «выходного дня» в городе Веневе около ТЦ «Веневский» и в п. Мордвес, «сельскохозяйственная ярмарка» в городе Веневе около ТЦ «Ирида».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Оборот розничной торговли организаций за 12 месяцев 2020 года составил    3 701,8 тыс. рублей, что в фактических ценах — 95,1% аналогичного уровня прошлого года, в сопоставимых ценах –  91,7%. 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Оборот розничной торговли на душу населения за январь-декабрь 2020</w:t>
      </w:r>
      <w:r>
        <w:rPr>
          <w:rFonts w:ascii="Times New Roman" w:hAnsi="Times New Roman"/>
          <w:sz w:val="28"/>
          <w:szCs w:val="28"/>
          <w:highlight w:val="darkYellow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года составил 119,5 тыс. рублей, в сопоставимых ценах –  70,9%.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За январь-декабрь 2020 года объем платных услуг населению по кругу крупных и средних организаций района составил 451,2 тыс. рублей, что в фактических ценах на 3,9% больше аналогичного периода 2019 года, в сопоставимых ценах –  100,1%. 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Объем платных услуг на душу населения за январь-декабрь 2020 года составил 14,6 тыс. рублей, что в фактических ценах на 5% больше к соответствующему уровню 2019 года, в сопоставимых ценах –  101,4%. 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 январь-декабрь 2020 года коммунальные услуги – 363,</w:t>
      </w:r>
      <w:r>
        <w:rPr>
          <w:rFonts w:ascii="Times New Roman" w:hAnsi="Times New Roman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руб., что больше уровня прошлого года на 10,8%.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структуре платных услуг населению преобладали коммунальные услуги 80,5%.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LibreOffice/6.3.3.2$Windows_X86_64 LibreOffice_project/a64200df03143b798afd1ec74a12ab50359878ed</Application>
  <Pages>2</Pages>
  <Words>522</Words>
  <Characters>3467</Characters>
  <CharactersWithSpaces>3988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2021-04-14T17:04:56Z</dcterms:modified>
  <cp:revision>4</cp:revision>
  <dc:subject/>
  <dc:title/>
</cp:coreProperties>
</file>