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0DBE5" w14:textId="77777777" w:rsidR="009540AC" w:rsidRDefault="00DB3AAA">
      <w:pPr>
        <w:jc w:val="center"/>
        <w:rPr>
          <w:sz w:val="22"/>
          <w:szCs w:val="22"/>
        </w:rPr>
      </w:pPr>
      <w:r>
        <w:fldChar w:fldCharType="begin"/>
      </w:r>
      <w:r>
        <w:instrText xml:space="preserve"> HYPERLINK "https://venev.tularegion.ru/upload/iblock/e16/e16fa749bf43ccf64015946f527b95b6.docx" \t "_blank" \h </w:instrText>
      </w:r>
      <w:r>
        <w:fldChar w:fldCharType="separate"/>
      </w:r>
      <w:r>
        <w:rPr>
          <w:rStyle w:val="-"/>
          <w:b/>
          <w:bCs/>
          <w:color w:val="000000"/>
          <w:sz w:val="28"/>
          <w:szCs w:val="28"/>
          <w:highlight w:val="white"/>
          <w:u w:val="none"/>
        </w:rPr>
        <w:t xml:space="preserve">Аналитическая записка по развитию субъектов МСП </w:t>
      </w:r>
      <w:r>
        <w:rPr>
          <w:rStyle w:val="-"/>
          <w:b/>
          <w:bCs/>
          <w:color w:val="000000"/>
          <w:sz w:val="28"/>
          <w:szCs w:val="28"/>
          <w:highlight w:val="white"/>
          <w:u w:val="none"/>
        </w:rPr>
        <w:fldChar w:fldCharType="end"/>
      </w:r>
    </w:p>
    <w:p w14:paraId="7BF0C019" w14:textId="0E74CD70" w:rsidR="009540AC" w:rsidRDefault="00DB3AAA">
      <w:pPr>
        <w:jc w:val="center"/>
        <w:rPr>
          <w:sz w:val="22"/>
          <w:szCs w:val="22"/>
        </w:rPr>
      </w:pPr>
      <w:hyperlink r:id="rId4" w:tgtFrame="_blank">
        <w:r>
          <w:rPr>
            <w:rStyle w:val="-"/>
            <w:b/>
            <w:bCs/>
            <w:color w:val="000000"/>
            <w:sz w:val="28"/>
            <w:szCs w:val="28"/>
            <w:highlight w:val="white"/>
            <w:u w:val="none"/>
          </w:rPr>
          <w:t>за 2</w:t>
        </w:r>
        <w:r>
          <w:rPr>
            <w:rStyle w:val="-"/>
            <w:b/>
            <w:bCs/>
            <w:color w:val="000000"/>
            <w:sz w:val="28"/>
            <w:szCs w:val="28"/>
            <w:highlight w:val="white"/>
            <w:u w:val="none"/>
          </w:rPr>
          <w:t xml:space="preserve"> квартал 2020 года</w:t>
        </w:r>
      </w:hyperlink>
      <w:r>
        <w:rPr>
          <w:b/>
          <w:bCs/>
          <w:color w:val="000000"/>
          <w:sz w:val="28"/>
          <w:szCs w:val="28"/>
        </w:rPr>
        <w:t xml:space="preserve"> </w:t>
      </w:r>
    </w:p>
    <w:p w14:paraId="5E066C1A" w14:textId="77777777" w:rsidR="009540AC" w:rsidRDefault="009540AC">
      <w:pPr>
        <w:jc w:val="center"/>
        <w:rPr>
          <w:b/>
          <w:bCs/>
          <w:color w:val="000000"/>
          <w:sz w:val="28"/>
          <w:szCs w:val="28"/>
        </w:rPr>
      </w:pPr>
    </w:p>
    <w:p w14:paraId="376E0660" w14:textId="77777777" w:rsidR="009540AC" w:rsidRDefault="00DB3AAA">
      <w:pPr>
        <w:jc w:val="center"/>
      </w:pPr>
      <w:r>
        <w:rPr>
          <w:b/>
          <w:bCs/>
          <w:color w:val="000000"/>
          <w:sz w:val="28"/>
          <w:szCs w:val="28"/>
        </w:rPr>
        <w:t xml:space="preserve">Потребительский рынок </w:t>
      </w:r>
    </w:p>
    <w:p w14:paraId="12F75E0E" w14:textId="77777777" w:rsidR="009540AC" w:rsidRDefault="00DB3AAA">
      <w:pPr>
        <w:ind w:firstLine="709"/>
        <w:jc w:val="both"/>
      </w:pPr>
      <w:r>
        <w:rPr>
          <w:color w:val="000000"/>
          <w:sz w:val="28"/>
          <w:szCs w:val="28"/>
        </w:rPr>
        <w:t>Оборот розничной торговли организаций за 1 полугодие 20</w:t>
      </w:r>
      <w:r>
        <w:rPr>
          <w:color w:val="000000"/>
          <w:kern w:val="2"/>
          <w:sz w:val="28"/>
          <w:szCs w:val="28"/>
          <w:lang w:eastAsia="zh-CN"/>
        </w:rPr>
        <w:t>20</w:t>
      </w:r>
      <w:r>
        <w:rPr>
          <w:color w:val="000000"/>
          <w:sz w:val="28"/>
          <w:szCs w:val="28"/>
        </w:rPr>
        <w:t xml:space="preserve"> года составил </w:t>
      </w:r>
      <w:r>
        <w:rPr>
          <w:color w:val="000000"/>
          <w:kern w:val="2"/>
          <w:sz w:val="28"/>
          <w:szCs w:val="28"/>
          <w:lang w:eastAsia="zh-CN"/>
        </w:rPr>
        <w:t>1785,4</w:t>
      </w:r>
      <w:r>
        <w:rPr>
          <w:color w:val="000000"/>
          <w:sz w:val="28"/>
          <w:szCs w:val="28"/>
        </w:rPr>
        <w:t xml:space="preserve"> млн. рублей, что</w:t>
      </w:r>
      <w:r>
        <w:rPr>
          <w:color w:val="000000"/>
          <w:sz w:val="28"/>
          <w:szCs w:val="28"/>
        </w:rPr>
        <w:t xml:space="preserve"> в фактических ценах на 5,</w:t>
      </w:r>
      <w:r>
        <w:rPr>
          <w:color w:val="000000"/>
          <w:kern w:val="2"/>
          <w:sz w:val="28"/>
          <w:szCs w:val="28"/>
          <w:lang w:eastAsia="zh-CN"/>
        </w:rPr>
        <w:t>5</w:t>
      </w:r>
      <w:r>
        <w:rPr>
          <w:color w:val="000000"/>
          <w:sz w:val="28"/>
          <w:szCs w:val="28"/>
        </w:rPr>
        <w:t xml:space="preserve">% больше прошлого года, в сопоставимых ценах </w:t>
      </w:r>
      <w:proofErr w:type="gramStart"/>
      <w:r>
        <w:rPr>
          <w:color w:val="000000"/>
          <w:sz w:val="28"/>
          <w:szCs w:val="28"/>
        </w:rPr>
        <w:t>–  на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  <w:lang w:eastAsia="zh-CN"/>
        </w:rPr>
        <w:t>3,0</w:t>
      </w:r>
      <w:r>
        <w:rPr>
          <w:color w:val="000000"/>
          <w:sz w:val="28"/>
          <w:szCs w:val="28"/>
        </w:rPr>
        <w:t xml:space="preserve">% больше. В </w:t>
      </w:r>
      <w:proofErr w:type="spellStart"/>
      <w:r>
        <w:rPr>
          <w:color w:val="000000"/>
          <w:sz w:val="28"/>
          <w:szCs w:val="28"/>
        </w:rPr>
        <w:t>Веневском</w:t>
      </w:r>
      <w:proofErr w:type="spellEnd"/>
      <w:r>
        <w:rPr>
          <w:color w:val="000000"/>
          <w:sz w:val="28"/>
          <w:szCs w:val="28"/>
        </w:rPr>
        <w:t xml:space="preserve"> районе сконцентрировано около 1,</w:t>
      </w:r>
      <w:r>
        <w:rPr>
          <w:color w:val="000000"/>
          <w:kern w:val="2"/>
          <w:sz w:val="28"/>
          <w:szCs w:val="28"/>
          <w:lang w:eastAsia="zh-CN"/>
        </w:rPr>
        <w:t>2</w:t>
      </w:r>
      <w:r>
        <w:rPr>
          <w:color w:val="000000"/>
          <w:sz w:val="28"/>
          <w:szCs w:val="28"/>
        </w:rPr>
        <w:t xml:space="preserve">% оборота розничной торговли Тульской области. Оборот розничной торговли на душу </w:t>
      </w:r>
      <w:proofErr w:type="gramStart"/>
      <w:r>
        <w:rPr>
          <w:color w:val="000000"/>
          <w:sz w:val="28"/>
          <w:szCs w:val="28"/>
        </w:rPr>
        <w:t>населения  составил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  <w:lang w:eastAsia="zh-CN"/>
        </w:rPr>
        <w:t>57,2</w:t>
      </w:r>
      <w:r>
        <w:rPr>
          <w:color w:val="000000"/>
          <w:sz w:val="28"/>
          <w:szCs w:val="28"/>
        </w:rPr>
        <w:t xml:space="preserve"> тыс. рублей.</w:t>
      </w:r>
    </w:p>
    <w:p w14:paraId="36DFF602" w14:textId="77777777" w:rsidR="009540AC" w:rsidRDefault="00DB3AAA">
      <w:pPr>
        <w:ind w:firstLine="709"/>
        <w:jc w:val="both"/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>
        <w:rPr>
          <w:color w:val="000000"/>
          <w:kern w:val="2"/>
          <w:sz w:val="28"/>
          <w:szCs w:val="28"/>
          <w:lang w:eastAsia="zh-CN"/>
        </w:rPr>
        <w:t>1</w:t>
      </w:r>
      <w:r>
        <w:rPr>
          <w:sz w:val="28"/>
          <w:szCs w:val="28"/>
        </w:rPr>
        <w:t xml:space="preserve"> полугодие 2020 года объем платных услуг населению по кругу крупных и средних организаций района составил </w:t>
      </w:r>
      <w:r>
        <w:rPr>
          <w:color w:val="000000"/>
          <w:kern w:val="2"/>
          <w:sz w:val="28"/>
          <w:szCs w:val="28"/>
          <w:lang w:eastAsia="zh-CN"/>
        </w:rPr>
        <w:t>240,9</w:t>
      </w:r>
      <w:r>
        <w:rPr>
          <w:sz w:val="28"/>
          <w:szCs w:val="28"/>
        </w:rPr>
        <w:t xml:space="preserve"> млн. рублей, темп роста к прошлому году 10</w:t>
      </w:r>
      <w:r>
        <w:rPr>
          <w:color w:val="000000"/>
          <w:kern w:val="2"/>
          <w:sz w:val="28"/>
          <w:szCs w:val="28"/>
          <w:lang w:eastAsia="zh-CN"/>
        </w:rPr>
        <w:t>5,4</w:t>
      </w:r>
      <w:r>
        <w:rPr>
          <w:sz w:val="28"/>
          <w:szCs w:val="28"/>
        </w:rPr>
        <w:t xml:space="preserve">%. </w:t>
      </w:r>
    </w:p>
    <w:p w14:paraId="48ED8A09" w14:textId="77777777" w:rsidR="009540AC" w:rsidRDefault="00DB3AAA">
      <w:pPr>
        <w:ind w:firstLine="709"/>
        <w:jc w:val="both"/>
      </w:pPr>
      <w:r>
        <w:rPr>
          <w:color w:val="000000"/>
          <w:sz w:val="28"/>
          <w:szCs w:val="28"/>
        </w:rPr>
        <w:t>Объем платных услуг на душу населения за январь-</w:t>
      </w:r>
      <w:r>
        <w:rPr>
          <w:color w:val="000000"/>
          <w:kern w:val="2"/>
          <w:sz w:val="28"/>
          <w:szCs w:val="28"/>
          <w:lang w:eastAsia="zh-CN"/>
        </w:rPr>
        <w:t>июнь</w:t>
      </w:r>
      <w:r>
        <w:rPr>
          <w:color w:val="000000"/>
          <w:sz w:val="28"/>
          <w:szCs w:val="28"/>
        </w:rPr>
        <w:t xml:space="preserve"> 20</w:t>
      </w:r>
      <w:r>
        <w:rPr>
          <w:color w:val="000000"/>
          <w:kern w:val="2"/>
          <w:sz w:val="28"/>
          <w:szCs w:val="28"/>
          <w:lang w:eastAsia="zh-CN"/>
        </w:rPr>
        <w:t>20</w:t>
      </w:r>
      <w:r>
        <w:rPr>
          <w:color w:val="000000"/>
          <w:sz w:val="28"/>
          <w:szCs w:val="28"/>
        </w:rPr>
        <w:t xml:space="preserve"> года составил </w:t>
      </w:r>
      <w:r>
        <w:rPr>
          <w:color w:val="000000"/>
          <w:kern w:val="2"/>
          <w:sz w:val="28"/>
          <w:szCs w:val="28"/>
          <w:lang w:eastAsia="zh-CN"/>
        </w:rPr>
        <w:t xml:space="preserve">7,7 </w:t>
      </w:r>
      <w:r>
        <w:rPr>
          <w:color w:val="000000"/>
          <w:sz w:val="28"/>
          <w:szCs w:val="28"/>
        </w:rPr>
        <w:t>тыс. рублей.</w:t>
      </w:r>
    </w:p>
    <w:p w14:paraId="5BD556E8" w14:textId="77777777" w:rsidR="009540AC" w:rsidRDefault="00DB3AAA">
      <w:pPr>
        <w:ind w:firstLine="709"/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>труктуре платных услуг населению преобладали коммунальные услуги 7</w:t>
      </w:r>
      <w:r>
        <w:rPr>
          <w:color w:val="000000"/>
          <w:kern w:val="2"/>
          <w:sz w:val="28"/>
          <w:szCs w:val="28"/>
          <w:lang w:eastAsia="zh-CN"/>
        </w:rPr>
        <w:t>9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"/>
          <w:sz w:val="28"/>
          <w:szCs w:val="28"/>
          <w:lang w:eastAsia="zh-CN"/>
        </w:rPr>
        <w:t>8</w:t>
      </w:r>
      <w:r>
        <w:rPr>
          <w:color w:val="000000"/>
          <w:sz w:val="28"/>
          <w:szCs w:val="28"/>
        </w:rPr>
        <w:t>%.</w:t>
      </w:r>
    </w:p>
    <w:p w14:paraId="2273E1BE" w14:textId="77777777" w:rsidR="009540AC" w:rsidRDefault="009540AC">
      <w:pPr>
        <w:jc w:val="center"/>
        <w:outlineLvl w:val="0"/>
        <w:rPr>
          <w:sz w:val="28"/>
          <w:szCs w:val="28"/>
        </w:rPr>
      </w:pPr>
    </w:p>
    <w:p w14:paraId="52A7F93C" w14:textId="77777777" w:rsidR="009540AC" w:rsidRDefault="00DB3AAA">
      <w:pPr>
        <w:jc w:val="center"/>
      </w:pPr>
      <w:r>
        <w:rPr>
          <w:b/>
          <w:color w:val="000000"/>
          <w:sz w:val="28"/>
          <w:szCs w:val="28"/>
        </w:rPr>
        <w:t xml:space="preserve">Малый бизнес </w:t>
      </w:r>
    </w:p>
    <w:p w14:paraId="11114A04" w14:textId="77777777" w:rsidR="009540AC" w:rsidRDefault="00DB3AAA">
      <w:pPr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По состоянию на 1 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июля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20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20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года в муниципальном образовании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 насчитывалось 10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72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субъектов малого и среднего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предпринимательства, из них 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858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индивидуальных предпринимателя, что на 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0,5</w:t>
      </w:r>
      <w:r>
        <w:rPr>
          <w:rFonts w:eastAsia="Calibri"/>
          <w:color w:val="000000"/>
          <w:sz w:val="28"/>
          <w:szCs w:val="28"/>
          <w:lang w:eastAsia="en-US"/>
        </w:rPr>
        <w:t>% больше аналогичного уровня 201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9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г. (201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9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год - 10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67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организаци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й</w:t>
      </w:r>
      <w:r>
        <w:rPr>
          <w:rFonts w:eastAsia="Calibri"/>
          <w:color w:val="000000"/>
          <w:sz w:val="28"/>
          <w:szCs w:val="28"/>
          <w:lang w:eastAsia="en-US"/>
        </w:rPr>
        <w:t>).</w:t>
      </w:r>
    </w:p>
    <w:p w14:paraId="5F513F69" w14:textId="77777777" w:rsidR="009540AC" w:rsidRDefault="00DB3AAA">
      <w:pPr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Количество субъектов малого и среднего предпринимательства на 1000 жителей за январь-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июнь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20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20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года составило 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34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4</w:t>
      </w:r>
      <w:r>
        <w:rPr>
          <w:rFonts w:eastAsia="Calibri"/>
          <w:color w:val="000000"/>
          <w:sz w:val="28"/>
          <w:szCs w:val="28"/>
          <w:lang w:eastAsia="en-US"/>
        </w:rPr>
        <w:t xml:space="preserve"> единиц, что на 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0,6</w:t>
      </w:r>
      <w:r>
        <w:rPr>
          <w:rFonts w:eastAsia="Calibri"/>
          <w:color w:val="000000"/>
          <w:sz w:val="28"/>
          <w:szCs w:val="28"/>
          <w:lang w:eastAsia="en-US"/>
        </w:rPr>
        <w:t>% больше аналогичного уровня 201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9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года (201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9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год-3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4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2</w:t>
      </w:r>
      <w:r>
        <w:rPr>
          <w:rFonts w:eastAsia="Calibri"/>
          <w:color w:val="000000"/>
          <w:sz w:val="28"/>
          <w:szCs w:val="28"/>
          <w:lang w:eastAsia="en-US"/>
        </w:rPr>
        <w:t>).</w:t>
      </w:r>
    </w:p>
    <w:p w14:paraId="4AFA95AE" w14:textId="77777777" w:rsidR="009540AC" w:rsidRDefault="00DB3AAA">
      <w:pPr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Объем налоговых поступлений в консолидированный бюджет муниципального образования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 от субъектов малого и среднего предпринимательства за 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1 полугодие 2020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года состави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л 21455,60 тыс. руб., что на 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1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8</w:t>
      </w:r>
      <w:r>
        <w:rPr>
          <w:rFonts w:eastAsia="Calibri"/>
          <w:color w:val="000000"/>
          <w:sz w:val="28"/>
          <w:szCs w:val="28"/>
          <w:lang w:eastAsia="en-US"/>
        </w:rPr>
        <w:t xml:space="preserve"> % больше аналогичного уровня 201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9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года (201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9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год – 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21077,3</w:t>
      </w:r>
      <w:r>
        <w:rPr>
          <w:rFonts w:eastAsia="Calibri"/>
          <w:color w:val="000000"/>
          <w:sz w:val="28"/>
          <w:szCs w:val="28"/>
          <w:lang w:eastAsia="en-US"/>
        </w:rPr>
        <w:t>).</w:t>
      </w:r>
    </w:p>
    <w:p w14:paraId="0A4D1BB1" w14:textId="77777777" w:rsidR="009540AC" w:rsidRDefault="00DB3A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целях совершенствования и развития малого и среднего предпринимательства в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Веневском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районе проводилась работа по реализации следующих мероприятий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муниципальной программы «Развитие субъектов малого и среднего предпринимательства, поддержка социально ориентированных некоммерческих организаций и улучшение инвестиционного климата в муниципальном образовании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район» до 2022 года:</w:t>
      </w:r>
    </w:p>
    <w:p w14:paraId="4B2C02DB" w14:textId="77777777" w:rsidR="009540AC" w:rsidRDefault="00DB3AAA">
      <w:pPr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- финансовая по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ддержка субъектов малого и среднего предпринимательства в виде займов, выдаваемых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Веневским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фондом поддержки - 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270</w:t>
      </w:r>
      <w:r>
        <w:rPr>
          <w:rFonts w:eastAsia="Calibri"/>
          <w:color w:val="000000"/>
          <w:sz w:val="28"/>
          <w:szCs w:val="28"/>
          <w:lang w:eastAsia="en-US"/>
        </w:rPr>
        <w:t>,0 тыс. руб.;</w:t>
      </w:r>
    </w:p>
    <w:p w14:paraId="7276762E" w14:textId="77777777" w:rsidR="009540AC" w:rsidRDefault="00DB3AA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 сформирован перечень муниципального имущества в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объеме  двадцати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двух объектов и  трех земельных участков для передачи в аренд</w:t>
      </w:r>
      <w:r>
        <w:rPr>
          <w:rFonts w:eastAsia="Calibri"/>
          <w:color w:val="000000"/>
          <w:sz w:val="28"/>
          <w:szCs w:val="28"/>
          <w:lang w:eastAsia="en-US"/>
        </w:rPr>
        <w:t xml:space="preserve">у субъектам малого бизнеса; </w:t>
      </w:r>
    </w:p>
    <w:p w14:paraId="45A0AEC2" w14:textId="77777777" w:rsidR="009540AC" w:rsidRDefault="00DB3AAA">
      <w:pPr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- оказаны следующие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виды  поддержки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предпринимателям: консультационная, информационная и образовательная.</w:t>
      </w:r>
    </w:p>
    <w:sectPr w:rsidR="009540A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0AC"/>
    <w:rsid w:val="009540AC"/>
    <w:rsid w:val="00DB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D3C1"/>
  <w15:docId w15:val="{336B8D13-C802-4860-8D5A-248C00B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DB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C43D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5C43D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5C43D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C43DB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5C43D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8E013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nev.tularegion.ru/upload/iblock/e16/e16fa749bf43ccf64015946f527b95b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380</Words>
  <Characters>2167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it3</cp:lastModifiedBy>
  <cp:revision>205</cp:revision>
  <cp:lastPrinted>2019-09-26T09:48:00Z</cp:lastPrinted>
  <dcterms:created xsi:type="dcterms:W3CDTF">2020-05-12T06:14:00Z</dcterms:created>
  <dcterms:modified xsi:type="dcterms:W3CDTF">2020-12-30T08:14:00Z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