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4173C" w:rsidRDefault="00D4173C" w:rsidP="00D4173C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Default="00C44557" w:rsidP="00C44557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РОССИЙСКАЯ ФЕДЕРАЦИЯ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ТУЛЬСКАЯ ОБЛАСТЬ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 xml:space="preserve">МУНИЦИПАЛЬНОЕ ОБРАЗОВАНИЕ 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СОБРАНИЕ ПРЕДСТАВИТЕЛЕЙ МУНИЦИПАЛЬНОГО ОБРАЗОВАНИЯ ВЕНЕВСКИЙ РАЙОН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6-го созыва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(</w:t>
      </w:r>
      <w:r w:rsidR="007A0CF0">
        <w:rPr>
          <w:rFonts w:ascii="Times New Roman" w:hAnsi="Times New Roman" w:cs="Times New Roman"/>
          <w:b/>
          <w:sz w:val="28"/>
          <w:szCs w:val="28"/>
        </w:rPr>
        <w:t>6</w:t>
      </w:r>
      <w:r w:rsidR="0055298C">
        <w:rPr>
          <w:rFonts w:ascii="Times New Roman" w:hAnsi="Times New Roman" w:cs="Times New Roman"/>
          <w:b/>
          <w:sz w:val="28"/>
          <w:szCs w:val="28"/>
        </w:rPr>
        <w:t>6</w:t>
      </w:r>
      <w:r w:rsidRPr="001A0AF8">
        <w:rPr>
          <w:rFonts w:ascii="Times New Roman" w:hAnsi="Times New Roman" w:cs="Times New Roman"/>
          <w:b/>
          <w:sz w:val="28"/>
          <w:szCs w:val="28"/>
        </w:rPr>
        <w:t>-е заседание)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A0AF8">
        <w:rPr>
          <w:rFonts w:ascii="Times New Roman" w:hAnsi="Times New Roman" w:cs="Times New Roman"/>
          <w:b/>
          <w:sz w:val="28"/>
          <w:szCs w:val="28"/>
        </w:rPr>
        <w:t>Р Е Ш Е Н И Е</w:t>
      </w:r>
    </w:p>
    <w:p w:rsidR="00C44557" w:rsidRPr="001A0AF8" w:rsidRDefault="00C44557" w:rsidP="00C4455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4557" w:rsidRPr="004449FE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4449FE">
        <w:rPr>
          <w:rFonts w:ascii="Times New Roman" w:hAnsi="Times New Roman" w:cs="Times New Roman"/>
          <w:sz w:val="28"/>
          <w:szCs w:val="28"/>
        </w:rPr>
        <w:t xml:space="preserve">от </w:t>
      </w:r>
      <w:r w:rsidR="0055298C">
        <w:rPr>
          <w:rFonts w:ascii="Times New Roman" w:hAnsi="Times New Roman" w:cs="Times New Roman"/>
          <w:sz w:val="28"/>
          <w:szCs w:val="28"/>
        </w:rPr>
        <w:t xml:space="preserve">13 июня </w:t>
      </w:r>
      <w:r w:rsidRPr="004449FE">
        <w:rPr>
          <w:rFonts w:ascii="Times New Roman" w:hAnsi="Times New Roman" w:cs="Times New Roman"/>
          <w:sz w:val="28"/>
          <w:szCs w:val="28"/>
        </w:rPr>
        <w:t>202</w:t>
      </w:r>
      <w:r w:rsidR="007A0CF0" w:rsidRPr="004449FE">
        <w:rPr>
          <w:rFonts w:ascii="Times New Roman" w:hAnsi="Times New Roman" w:cs="Times New Roman"/>
          <w:sz w:val="28"/>
          <w:szCs w:val="28"/>
        </w:rPr>
        <w:t>3</w:t>
      </w:r>
      <w:r w:rsidRPr="004449FE">
        <w:rPr>
          <w:rFonts w:ascii="Times New Roman" w:hAnsi="Times New Roman" w:cs="Times New Roman"/>
          <w:sz w:val="28"/>
          <w:szCs w:val="28"/>
        </w:rPr>
        <w:t xml:space="preserve"> г.                                                                                № </w:t>
      </w:r>
      <w:r w:rsidR="007A0CF0" w:rsidRPr="004449FE">
        <w:rPr>
          <w:rFonts w:ascii="Times New Roman" w:hAnsi="Times New Roman" w:cs="Times New Roman"/>
          <w:sz w:val="28"/>
          <w:szCs w:val="28"/>
        </w:rPr>
        <w:t>6</w:t>
      </w:r>
      <w:r w:rsidR="0055298C">
        <w:rPr>
          <w:rFonts w:ascii="Times New Roman" w:hAnsi="Times New Roman" w:cs="Times New Roman"/>
          <w:sz w:val="28"/>
          <w:szCs w:val="28"/>
        </w:rPr>
        <w:t>6</w:t>
      </w:r>
      <w:r w:rsidR="007A0CF0" w:rsidRPr="004449FE">
        <w:rPr>
          <w:rFonts w:ascii="Times New Roman" w:hAnsi="Times New Roman" w:cs="Times New Roman"/>
          <w:sz w:val="28"/>
          <w:szCs w:val="28"/>
        </w:rPr>
        <w:t>/</w:t>
      </w:r>
      <w:r w:rsidR="0055298C">
        <w:rPr>
          <w:rFonts w:ascii="Times New Roman" w:hAnsi="Times New Roman" w:cs="Times New Roman"/>
          <w:sz w:val="28"/>
          <w:szCs w:val="28"/>
        </w:rPr>
        <w:t>40</w:t>
      </w:r>
      <w:r w:rsidR="00A005FF">
        <w:rPr>
          <w:rFonts w:ascii="Times New Roman" w:hAnsi="Times New Roman" w:cs="Times New Roman"/>
          <w:sz w:val="28"/>
          <w:szCs w:val="28"/>
        </w:rPr>
        <w:t>6</w:t>
      </w:r>
      <w:r w:rsidR="001A05D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44557" w:rsidRPr="001A0AF8" w:rsidRDefault="00C44557" w:rsidP="00C4455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1A0AF8">
        <w:rPr>
          <w:rFonts w:ascii="Times New Roman" w:hAnsi="Times New Roman" w:cs="Times New Roman"/>
          <w:sz w:val="28"/>
          <w:szCs w:val="28"/>
        </w:rPr>
        <w:t>г. Венев</w:t>
      </w:r>
    </w:p>
    <w:p w:rsidR="00D4173C" w:rsidRPr="001F6DAC" w:rsidRDefault="00D4173C" w:rsidP="00D4173C">
      <w:pPr>
        <w:spacing w:after="0" w:line="240" w:lineRule="exact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45212" w:rsidRDefault="00845212" w:rsidP="00845212">
      <w:pPr>
        <w:pStyle w:val="Standard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О внесении изменений и дополнений в решение Собрания представителей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Веневский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 xml:space="preserve"> район </w:t>
      </w:r>
    </w:p>
    <w:p w:rsidR="00845212" w:rsidRDefault="00845212" w:rsidP="00845212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от 25.11.2021 № 45/275</w:t>
      </w:r>
    </w:p>
    <w:p w:rsidR="00845212" w:rsidRDefault="00845212" w:rsidP="00845212">
      <w:pPr>
        <w:pStyle w:val="Standard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bidi="ar-SA"/>
        </w:rPr>
        <w:t>«Об утверждении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 Положения о </w:t>
      </w:r>
      <w:r>
        <w:rPr>
          <w:rFonts w:ascii="Times New Roman" w:hAnsi="Times New Roman"/>
          <w:b/>
          <w:bCs/>
          <w:color w:val="00000A"/>
          <w:sz w:val="28"/>
          <w:szCs w:val="28"/>
        </w:rPr>
        <w:t xml:space="preserve">муниципальном земельном контроле в границах муниципального образования </w:t>
      </w:r>
      <w:proofErr w:type="spellStart"/>
      <w:r>
        <w:rPr>
          <w:rFonts w:ascii="Times New Roman" w:hAnsi="Times New Roman"/>
          <w:b/>
          <w:bCs/>
          <w:color w:val="00000A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b/>
          <w:bCs/>
          <w:color w:val="00000A"/>
          <w:sz w:val="28"/>
          <w:szCs w:val="28"/>
        </w:rPr>
        <w:t xml:space="preserve"> район»</w:t>
      </w:r>
    </w:p>
    <w:p w:rsidR="00845212" w:rsidRDefault="00845212" w:rsidP="00845212">
      <w:pPr>
        <w:pStyle w:val="Standard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845212" w:rsidRDefault="00845212" w:rsidP="00845212">
      <w:pPr>
        <w:pStyle w:val="Standard"/>
        <w:ind w:firstLine="567"/>
        <w:jc w:val="both"/>
        <w:rPr>
          <w:rFonts w:ascii="Times New Roman" w:hAnsi="Times New Roman"/>
        </w:rPr>
      </w:pPr>
      <w:r>
        <w:rPr>
          <w:rFonts w:ascii="Times New Roman" w:eastAsia="Calibri" w:hAnsi="Times New Roman"/>
          <w:color w:val="00000A"/>
          <w:sz w:val="28"/>
          <w:szCs w:val="28"/>
        </w:rPr>
        <w:t xml:space="preserve">В соответствии со статьей 72 Земельного кодекса Российской Федерации, статьей 3 Федерального закона, пунктом 3 частью 10 статьи 23 Федерального закона от 31.07.2020 № 248-ФЗ «О государственном контроле (надзоре) и муниципальном контроле в Российской Федерации», Федеральным законом от 06.10.2003 № 131-ФЗ «Об общих принципах организации местного самоуправления в Российской Федерации» (ред. от 06.02.2023), на основании </w:t>
      </w:r>
      <w:r>
        <w:rPr>
          <w:rFonts w:ascii="Times New Roman" w:hAnsi="Times New Roman"/>
          <w:color w:val="00000A"/>
          <w:sz w:val="28"/>
          <w:szCs w:val="28"/>
        </w:rPr>
        <w:t xml:space="preserve">Устава муниципального образования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район, Собрание представителей муниципального образования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район </w:t>
      </w:r>
      <w:r>
        <w:rPr>
          <w:rFonts w:ascii="Times New Roman" w:hAnsi="Times New Roman"/>
          <w:b/>
          <w:color w:val="00000A"/>
          <w:sz w:val="28"/>
          <w:szCs w:val="28"/>
        </w:rPr>
        <w:t>РЕШИЛО:</w:t>
      </w:r>
    </w:p>
    <w:p w:rsidR="00845212" w:rsidRDefault="00845212" w:rsidP="00845212">
      <w:pPr>
        <w:pStyle w:val="Standard"/>
        <w:shd w:val="clear" w:color="auto" w:fill="FFFFFF"/>
        <w:ind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1. Внести изменения и дополнения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в решение Собрания представителей муниципального образования </w:t>
      </w:r>
      <w:proofErr w:type="spellStart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Веневский</w:t>
      </w:r>
      <w:proofErr w:type="spellEnd"/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район от 25.11.2021 № 45/275</w:t>
      </w:r>
      <w:r w:rsidR="00932221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«Об утверждении</w:t>
      </w:r>
      <w:r>
        <w:rPr>
          <w:rFonts w:ascii="Times New Roman" w:hAnsi="Times New Roman"/>
          <w:color w:val="000000"/>
          <w:sz w:val="28"/>
          <w:szCs w:val="28"/>
        </w:rPr>
        <w:t xml:space="preserve"> Положения о </w:t>
      </w:r>
      <w:r>
        <w:rPr>
          <w:rFonts w:ascii="Times New Roman" w:hAnsi="Times New Roman"/>
          <w:color w:val="00000A"/>
          <w:sz w:val="28"/>
          <w:szCs w:val="28"/>
        </w:rPr>
        <w:t xml:space="preserve">муниципальном земельном контроле в границах муниципального образования </w:t>
      </w:r>
      <w:proofErr w:type="spellStart"/>
      <w:r>
        <w:rPr>
          <w:rFonts w:ascii="Times New Roman" w:hAnsi="Times New Roman"/>
          <w:color w:val="00000A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color w:val="00000A"/>
          <w:sz w:val="28"/>
          <w:szCs w:val="28"/>
        </w:rPr>
        <w:t xml:space="preserve"> район»,</w:t>
      </w:r>
      <w:r>
        <w:rPr>
          <w:rFonts w:ascii="Times New Roman" w:hAnsi="Times New Roman"/>
          <w:color w:val="000000"/>
          <w:sz w:val="28"/>
          <w:szCs w:val="28"/>
        </w:rPr>
        <w:t xml:space="preserve"> согласно приложению.</w:t>
      </w:r>
    </w:p>
    <w:p w:rsidR="00845212" w:rsidRDefault="00845212" w:rsidP="00845212">
      <w:pPr>
        <w:pStyle w:val="Standard"/>
        <w:shd w:val="clear" w:color="auto" w:fill="FFFFFF"/>
        <w:ind w:firstLine="624"/>
        <w:jc w:val="both"/>
        <w:rPr>
          <w:rFonts w:ascii="Times New Roman" w:hAnsi="Times New Roman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>
        <w:rPr>
          <w:rFonts w:ascii="Times New Roman" w:hAnsi="Times New Roman"/>
          <w:color w:val="000000"/>
          <w:sz w:val="28"/>
          <w:szCs w:val="28"/>
        </w:rPr>
        <w:t xml:space="preserve">Опубликовать </w:t>
      </w:r>
      <w:r>
        <w:rPr>
          <w:rFonts w:ascii="Times New Roman" w:hAnsi="Times New Roman"/>
          <w:sz w:val="28"/>
          <w:szCs w:val="28"/>
        </w:rPr>
        <w:t xml:space="preserve">настоящее решение в газете «Вести </w:t>
      </w:r>
      <w:proofErr w:type="spellStart"/>
      <w:r>
        <w:rPr>
          <w:rFonts w:ascii="Times New Roman" w:hAnsi="Times New Roman"/>
          <w:sz w:val="28"/>
          <w:szCs w:val="28"/>
        </w:rPr>
        <w:t>Веневского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района» и разместить на официальном сайте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район</w:t>
      </w:r>
      <w:r w:rsidR="00932221">
        <w:rPr>
          <w:rFonts w:ascii="Times New Roman" w:hAnsi="Times New Roman"/>
          <w:sz w:val="28"/>
          <w:szCs w:val="28"/>
        </w:rPr>
        <w:t>.</w:t>
      </w:r>
      <w:bookmarkStart w:id="0" w:name="_GoBack"/>
      <w:bookmarkEnd w:id="0"/>
    </w:p>
    <w:p w:rsidR="00845212" w:rsidRDefault="00845212" w:rsidP="00845212">
      <w:pPr>
        <w:pStyle w:val="Standard"/>
        <w:shd w:val="clear" w:color="auto" w:fill="FFFFFF"/>
        <w:ind w:firstLine="62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Решение вступает в силу со дня официального опубликования.</w:t>
      </w:r>
    </w:p>
    <w:p w:rsidR="001F6DAC" w:rsidRDefault="001F6DAC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A0CF0" w:rsidRPr="001F6DAC" w:rsidRDefault="007A0CF0" w:rsidP="001F6DAC">
      <w:pPr>
        <w:spacing w:after="0" w:line="240" w:lineRule="exact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0" w:type="auto"/>
        <w:tblInd w:w="-72" w:type="dxa"/>
        <w:tblLayout w:type="fixed"/>
        <w:tblLook w:val="0000" w:firstRow="0" w:lastRow="0" w:firstColumn="0" w:lastColumn="0" w:noHBand="0" w:noVBand="0"/>
      </w:tblPr>
      <w:tblGrid>
        <w:gridCol w:w="5000"/>
        <w:gridCol w:w="4642"/>
      </w:tblGrid>
      <w:tr w:rsidR="000126C3" w:rsidRPr="000126C3" w:rsidTr="00AA5D95">
        <w:trPr>
          <w:trHeight w:val="552"/>
        </w:trPr>
        <w:tc>
          <w:tcPr>
            <w:tcW w:w="5000" w:type="dxa"/>
            <w:shd w:val="clear" w:color="auto" w:fill="auto"/>
          </w:tcPr>
          <w:p w:rsidR="000126C3" w:rsidRPr="00403048" w:rsidRDefault="00403048" w:rsidP="00403048">
            <w:pPr>
              <w:suppressAutoHyphens/>
              <w:spacing w:after="0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Глава </w:t>
            </w:r>
            <w:r w:rsidR="00AA5D95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муниципального </w:t>
            </w:r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образования </w:t>
            </w:r>
            <w:proofErr w:type="spellStart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Веневский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район</w:t>
            </w:r>
          </w:p>
        </w:tc>
        <w:tc>
          <w:tcPr>
            <w:tcW w:w="4642" w:type="dxa"/>
            <w:shd w:val="clear" w:color="auto" w:fill="auto"/>
          </w:tcPr>
          <w:p w:rsidR="00403048" w:rsidRDefault="00403048" w:rsidP="000126C3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</w:t>
            </w:r>
          </w:p>
          <w:p w:rsidR="000126C3" w:rsidRPr="00403048" w:rsidRDefault="00403048" w:rsidP="00AD5EBD">
            <w:pPr>
              <w:suppressAutoHyphens/>
              <w:snapToGri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                                 </w:t>
            </w:r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М.А. </w:t>
            </w:r>
            <w:proofErr w:type="spellStart"/>
            <w:r w:rsidR="00AD5EBD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>Камаева</w:t>
            </w:r>
            <w:proofErr w:type="spellEnd"/>
            <w:r w:rsidR="000126C3" w:rsidRPr="00403048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ar-SA"/>
              </w:rPr>
              <w:t xml:space="preserve">  </w:t>
            </w:r>
          </w:p>
        </w:tc>
      </w:tr>
    </w:tbl>
    <w:p w:rsidR="00A005FF" w:rsidRDefault="00B41D88" w:rsidP="0006716E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softHyphen/>
      </w:r>
      <w:r w:rsidR="0006716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    </w:t>
      </w:r>
    </w:p>
    <w:p w:rsidR="00A005FF" w:rsidRDefault="00A005FF" w:rsidP="0006716E">
      <w:pPr>
        <w:spacing w:after="0" w:line="240" w:lineRule="auto"/>
        <w:ind w:firstLine="743"/>
        <w:jc w:val="both"/>
        <w:outlineLvl w:val="0"/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</w:pPr>
    </w:p>
    <w:p w:rsidR="00845212" w:rsidRDefault="00A005FF" w:rsidP="00845212">
      <w:pPr>
        <w:pStyle w:val="Standard"/>
        <w:tabs>
          <w:tab w:val="left" w:pos="200"/>
        </w:tabs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                        </w:t>
      </w:r>
      <w:r w:rsidR="0006716E">
        <w:rPr>
          <w:rFonts w:ascii="Times New Roman" w:eastAsia="Times New Roman" w:hAnsi="Times New Roman" w:cs="Times New Roman"/>
          <w:bCs/>
          <w:sz w:val="32"/>
          <w:szCs w:val="32"/>
          <w:lang w:eastAsia="ru-RU"/>
        </w:rPr>
        <w:t xml:space="preserve">                     </w:t>
      </w:r>
      <w:r w:rsidR="00845212">
        <w:rPr>
          <w:rFonts w:ascii="Times New Roman" w:hAnsi="Times New Roman"/>
          <w:color w:val="000000"/>
          <w:sz w:val="28"/>
          <w:szCs w:val="28"/>
        </w:rPr>
        <w:t xml:space="preserve">Приложение </w:t>
      </w:r>
    </w:p>
    <w:p w:rsidR="00845212" w:rsidRDefault="00845212" w:rsidP="00845212">
      <w:pPr>
        <w:pStyle w:val="Standard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к решению Собрания представителей</w:t>
      </w:r>
    </w:p>
    <w:p w:rsidR="00845212" w:rsidRDefault="00845212" w:rsidP="00845212">
      <w:pPr>
        <w:pStyle w:val="Standard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муниципального образования</w:t>
      </w:r>
    </w:p>
    <w:p w:rsidR="00845212" w:rsidRDefault="00845212" w:rsidP="00845212">
      <w:pPr>
        <w:pStyle w:val="Standard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proofErr w:type="spellStart"/>
      <w:r>
        <w:rPr>
          <w:rFonts w:ascii="Times New Roman" w:hAnsi="Times New Roman"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</w:t>
      </w:r>
    </w:p>
    <w:p w:rsidR="00845212" w:rsidRDefault="00845212" w:rsidP="00845212">
      <w:pPr>
        <w:pStyle w:val="Standard"/>
        <w:ind w:firstLine="709"/>
        <w:jc w:val="right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От 13.06.2023 года № 66/406</w:t>
      </w:r>
      <w:r>
        <w:rPr>
          <w:rFonts w:ascii="Times New Roman" w:hAnsi="Times New Roman"/>
          <w:color w:val="000000"/>
          <w:sz w:val="28"/>
          <w:szCs w:val="28"/>
          <w:u w:val="single"/>
        </w:rPr>
        <w:t xml:space="preserve">                  </w:t>
      </w:r>
    </w:p>
    <w:p w:rsidR="00845212" w:rsidRDefault="00845212" w:rsidP="00845212">
      <w:pPr>
        <w:pStyle w:val="Standard"/>
        <w:ind w:firstLine="709"/>
        <w:jc w:val="right"/>
        <w:rPr>
          <w:rFonts w:ascii="Times New Roman" w:hAnsi="Times New Roman"/>
          <w:b/>
          <w:bCs/>
          <w:color w:val="00000A"/>
          <w:sz w:val="28"/>
          <w:szCs w:val="28"/>
        </w:rPr>
      </w:pPr>
    </w:p>
    <w:p w:rsidR="00845212" w:rsidRDefault="00845212" w:rsidP="00845212">
      <w:pPr>
        <w:pStyle w:val="Standard"/>
        <w:autoSpaceDE w:val="0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В разделе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  <w:lang w:val="en-US"/>
        </w:rPr>
        <w:t>II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 xml:space="preserve"> «Управление рисками причинения вреда (ущерба) охраняемым законом ценностям»,</w:t>
      </w:r>
    </w:p>
    <w:p w:rsidR="00845212" w:rsidRDefault="00845212" w:rsidP="00845212">
      <w:pPr>
        <w:pStyle w:val="Standard"/>
        <w:autoSpaceDE w:val="0"/>
        <w:ind w:firstLine="567"/>
        <w:jc w:val="both"/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пункт 12 читать в новой редакции и дополнить:</w:t>
      </w:r>
    </w:p>
    <w:p w:rsidR="00845212" w:rsidRDefault="00845212" w:rsidP="00845212">
      <w:pPr>
        <w:pStyle w:val="Standard"/>
        <w:autoSpaceDE w:val="0"/>
        <w:jc w:val="both"/>
        <w:rPr>
          <w:rFonts w:ascii="Times New Roman" w:hAnsi="Times New Roman"/>
          <w:sz w:val="28"/>
          <w:szCs w:val="28"/>
        </w:rPr>
      </w:pPr>
      <w:r w:rsidRPr="009B16F7"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1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bidi="ar-SA"/>
        </w:rPr>
        <w:t>2.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Система оценки и управления рисками при осуществлении муниципального земельного контроля применяется. Муниципальный земельный контроль осуществляется без проведения плановых контрольных (надзорных) мероприятий. Внеплановые контрольные (надзорные) мероприятия проводятся с учетом особенностей, установленных статьей 66 Федерального закона 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"О государственном контроле (надзоре) и муниципальном контроле в Российской Федерации".</w:t>
      </w:r>
    </w:p>
    <w:p w:rsidR="00845212" w:rsidRDefault="00845212" w:rsidP="00845212">
      <w:pPr>
        <w:pStyle w:val="Standard"/>
        <w:jc w:val="both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ab/>
        <w:t xml:space="preserve">Перечень индикаторов риска нарушении обязательных </w:t>
      </w:r>
      <w:proofErr w:type="gramStart"/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требований  при</w:t>
      </w:r>
      <w:proofErr w:type="gramEnd"/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осуществлении муниципального земельного контроля в границах муниципального образования </w:t>
      </w:r>
      <w:proofErr w:type="spellStart"/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Веневский</w:t>
      </w:r>
      <w:proofErr w:type="spellEnd"/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район</w:t>
      </w:r>
    </w:p>
    <w:p w:rsidR="00845212" w:rsidRDefault="00845212" w:rsidP="00845212">
      <w:pPr>
        <w:pStyle w:val="Standard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45212" w:rsidRDefault="00845212" w:rsidP="00845212">
      <w:pPr>
        <w:pStyle w:val="Standard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1. Превышение площади используемого юридическим лицом, индивидуальным предпринимателем, гражданином земельного участка площади земельного участка сведения о котором содержатся в Едином государственном реестре недвижимости (далее - ЕГРН) или в имеющихся правоустанавливающих,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правоудостоверяющих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 xml:space="preserve"> документах, выявленное по результатам проведения мероприятия по контролю, при проведении которого не требуется взаимодействие.</w:t>
      </w:r>
    </w:p>
    <w:p w:rsidR="00845212" w:rsidRDefault="00845212" w:rsidP="00845212">
      <w:pPr>
        <w:pStyle w:val="Standard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2. Отклонение местоположения объектов, характеризующих фактические границы участка, в сторону увеличения землепользования относительно местоположения границы земельного участка, сведения о котором содержатся в ЕГРН, на величину, превышающую допустимые расхождения первоначальных и контрольных определений координат, установленную Приказом Федеральной службы государственной регистрации, кадастра и картографии от 23 октября 2020 г. N П/0393 "Об утверждении требований к точности и методам определения координат характерных точек границ земельного участка, требований к точности и методам определения координат характерных точек контура здания, сооружения или объекта незавершенного строительства на земельном участке, а также требований к определению площади здания, сооружения, помещения, </w:t>
      </w:r>
      <w:proofErr w:type="spellStart"/>
      <w:r>
        <w:rPr>
          <w:rFonts w:ascii="Times New Roman" w:eastAsia="Calibri" w:hAnsi="Times New Roman"/>
          <w:color w:val="000000"/>
          <w:sz w:val="28"/>
          <w:szCs w:val="28"/>
        </w:rPr>
        <w:t>машино</w:t>
      </w:r>
      <w:proofErr w:type="spellEnd"/>
      <w:r>
        <w:rPr>
          <w:rFonts w:ascii="Times New Roman" w:eastAsia="Calibri" w:hAnsi="Times New Roman"/>
          <w:color w:val="000000"/>
          <w:sz w:val="28"/>
          <w:szCs w:val="28"/>
        </w:rPr>
        <w:t>-места".</w:t>
      </w:r>
    </w:p>
    <w:p w:rsidR="00845212" w:rsidRDefault="00845212" w:rsidP="00845212">
      <w:pPr>
        <w:pStyle w:val="Standard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ab/>
        <w:t xml:space="preserve">3. Отсутствие в ЕГРН сведений о правах на используемый юридическим лицом, индивидуальным предпринимателем, гражданином земельный участок. </w:t>
      </w:r>
      <w:r>
        <w:rPr>
          <w:rFonts w:ascii="Times New Roman" w:eastAsia="Calibri" w:hAnsi="Times New Roman"/>
          <w:color w:val="000000"/>
          <w:sz w:val="28"/>
          <w:szCs w:val="28"/>
        </w:rPr>
        <w:tab/>
      </w:r>
    </w:p>
    <w:p w:rsidR="00845212" w:rsidRDefault="00845212" w:rsidP="00845212">
      <w:pPr>
        <w:pStyle w:val="Standard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4. Наличие на земельном участке объектов и (или) информации, сведений, содержащихся в сети "Интернет", в иных общедоступных </w:t>
      </w: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источниках информации, свидетельствующих об использовании земельного участка не в соответствии с установленной для него в ЕГРН категорией земель и (или) видом разрешенного использования.</w:t>
      </w:r>
    </w:p>
    <w:p w:rsidR="00845212" w:rsidRDefault="00845212" w:rsidP="00845212">
      <w:pPr>
        <w:pStyle w:val="Standard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5. Отсутствие объектов капитального строительства, деятельности по ведению строительных работ, связанных с возведением объектов капитального строительства, на земельном участке, предназначенном для жилищного или иного строительства, при условии, что с момента возникновения права собственности на земельный участок прошло более трех лет либо истек срок освоения земельного участка, предусмотренный договором аренды земельного участка.</w:t>
      </w:r>
    </w:p>
    <w:p w:rsidR="00845212" w:rsidRDefault="00845212" w:rsidP="00845212">
      <w:pPr>
        <w:pStyle w:val="Standard"/>
        <w:autoSpaceDE w:val="0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>6. Зарастание земельного участка, предназначенного для ведения сельскохозяйственного использования (производства) или осуществления иной связанной с сельскохозяйственным производством деятельности, сорной растительностью и (или) древесно-кустарниковой растительностью, не относящейся к многолетним плодово-ягодным насаждениям, за исключением мелиоративных защитных лесных насаждений.</w:t>
      </w:r>
    </w:p>
    <w:p w:rsidR="00845212" w:rsidRDefault="00845212" w:rsidP="00845212">
      <w:pPr>
        <w:pStyle w:val="Standard"/>
        <w:autoSpaceDE w:val="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845212" w:rsidRDefault="00845212" w:rsidP="00845212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В разделе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V</w:t>
      </w:r>
      <w:r>
        <w:rPr>
          <w:rFonts w:ascii="Times New Roman" w:hAnsi="Times New Roman"/>
          <w:b/>
          <w:bCs/>
          <w:sz w:val="28"/>
          <w:szCs w:val="28"/>
        </w:rPr>
        <w:t xml:space="preserve"> «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Контрольные мероприятия, проводимые с взаимодействием с контролируемым лицом</w:t>
      </w:r>
      <w:r>
        <w:rPr>
          <w:rFonts w:ascii="Times New Roman" w:hAnsi="Times New Roman"/>
          <w:b/>
          <w:bCs/>
          <w:sz w:val="28"/>
          <w:szCs w:val="28"/>
        </w:rPr>
        <w:t>»,</w:t>
      </w:r>
    </w:p>
    <w:p w:rsidR="00845212" w:rsidRDefault="00845212" w:rsidP="00845212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пункт 45,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пункт 58, пункт 65</w:t>
      </w:r>
      <w:r>
        <w:rPr>
          <w:rFonts w:ascii="Times New Roman" w:hAnsi="Times New Roman"/>
          <w:b/>
          <w:bCs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читать в новой редакции</w:t>
      </w:r>
      <w:r>
        <w:rPr>
          <w:rFonts w:ascii="Times New Roman" w:hAnsi="Times New Roman"/>
          <w:b/>
          <w:bCs/>
          <w:sz w:val="28"/>
          <w:szCs w:val="28"/>
        </w:rPr>
        <w:t>:</w:t>
      </w:r>
    </w:p>
    <w:p w:rsidR="00845212" w:rsidRDefault="00845212" w:rsidP="00845212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45.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color w:val="000000"/>
          <w:sz w:val="28"/>
          <w:szCs w:val="28"/>
        </w:rPr>
        <w:t>Условия проведения инспекционного визита и порядок действий при его осуществлении определяются в соответствии со статьями 64, 65, 66 и 70 Федерального закона "О государственном контроле (надзоре) и муниципальном контроле в Российской Федерации".</w:t>
      </w:r>
    </w:p>
    <w:p w:rsidR="00845212" w:rsidRDefault="00845212" w:rsidP="00845212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58. Условия проведения документарной проверки и порядок действий при ее осуществлении определяются в соответствии со статьями 64, 65, 66 и 72 Федерального закона "О государственном контроле (надзоре) и муниципальном контроле в Российской Федерации".</w:t>
      </w:r>
    </w:p>
    <w:p w:rsidR="00845212" w:rsidRDefault="00845212" w:rsidP="00845212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65. Условия проведения выездной проверки и порядок действий при ее осуществлении определяются в соответствии со статьями 64, 65, 66 и 73 Федерального закона "О государственном контроле (надзоре) и муниципальном контроле в Российской Федерации".</w:t>
      </w:r>
    </w:p>
    <w:p w:rsidR="00845212" w:rsidRDefault="00845212" w:rsidP="00845212">
      <w:pPr>
        <w:pStyle w:val="Standard"/>
        <w:numPr>
          <w:ilvl w:val="2"/>
          <w:numId w:val="2"/>
        </w:numPr>
        <w:ind w:firstLine="567"/>
        <w:jc w:val="both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В разделе </w:t>
      </w:r>
      <w:r>
        <w:rPr>
          <w:rFonts w:ascii="Times New Roman" w:hAnsi="Times New Roman"/>
          <w:b/>
          <w:color w:val="000000"/>
          <w:sz w:val="28"/>
          <w:szCs w:val="28"/>
        </w:rPr>
        <w:t>VI «Контрольные мероприятия,</w:t>
      </w:r>
      <w:r>
        <w:rPr>
          <w:rFonts w:ascii="Times New Roman" w:hAnsi="Times New Roman"/>
          <w:b/>
          <w:color w:val="000000"/>
          <w:sz w:val="28"/>
          <w:szCs w:val="28"/>
        </w:rPr>
        <w:br/>
        <w:t>осуществляемые без взаимодействия с контролируемым лицом»,</w:t>
      </w:r>
    </w:p>
    <w:p w:rsidR="00845212" w:rsidRDefault="00845212" w:rsidP="00845212">
      <w:pPr>
        <w:pStyle w:val="Standard"/>
        <w:numPr>
          <w:ilvl w:val="2"/>
          <w:numId w:val="2"/>
        </w:numPr>
        <w:ind w:firstLine="567"/>
        <w:jc w:val="both"/>
        <w:rPr>
          <w:rFonts w:ascii="Times New Roman" w:hAnsi="Times New Roman"/>
          <w:b/>
          <w:color w:val="3FAF46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 xml:space="preserve"> пункт 67</w:t>
      </w:r>
      <w:r>
        <w:rPr>
          <w:rFonts w:ascii="Times New Roman" w:hAnsi="Times New Roman"/>
          <w:b/>
          <w:bCs/>
          <w:color w:val="3FAF46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b/>
          <w:bCs/>
          <w:color w:val="000000"/>
          <w:sz w:val="28"/>
          <w:szCs w:val="28"/>
        </w:rPr>
        <w:t>читать в новой редакции</w:t>
      </w:r>
      <w:r>
        <w:rPr>
          <w:rFonts w:ascii="Times New Roman" w:hAnsi="Times New Roman"/>
          <w:b/>
          <w:bCs/>
          <w:color w:val="3FAF46"/>
          <w:sz w:val="28"/>
          <w:szCs w:val="28"/>
        </w:rPr>
        <w:t>:</w:t>
      </w:r>
    </w:p>
    <w:p w:rsidR="00845212" w:rsidRDefault="00845212" w:rsidP="00845212">
      <w:pPr>
        <w:pStyle w:val="Standard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ab/>
        <w:t xml:space="preserve">67. Контрольные мероприятия без взаимодействия проводятся должностными лицами органа муниципального земельного контроля на основании заданий, выдаваемых должностными лицами органа муниципального земельного контроля, уполномоченными на принятие решений о проведении контрольных мероприятий. </w:t>
      </w:r>
      <w:r>
        <w:rPr>
          <w:rFonts w:ascii="Times New Roman" w:eastAsia="Calibri" w:hAnsi="Times New Roman"/>
          <w:color w:val="000000"/>
          <w:sz w:val="28"/>
          <w:szCs w:val="28"/>
        </w:rPr>
        <w:t>По результатам проведения контрольных мероприятий, проводимых без взаимодействия с контролируемым лицом, составляется заключение.</w:t>
      </w:r>
    </w:p>
    <w:p w:rsidR="00845212" w:rsidRDefault="00845212" w:rsidP="00845212">
      <w:pPr>
        <w:pStyle w:val="Standard"/>
        <w:numPr>
          <w:ilvl w:val="2"/>
          <w:numId w:val="2"/>
        </w:numPr>
        <w:jc w:val="center"/>
        <w:rPr>
          <w:rFonts w:ascii="Times New Roman" w:hAnsi="Times New Roman"/>
          <w:i/>
          <w:color w:val="3FAF46"/>
          <w:sz w:val="28"/>
          <w:szCs w:val="28"/>
        </w:rPr>
      </w:pPr>
    </w:p>
    <w:p w:rsidR="00845212" w:rsidRDefault="00845212" w:rsidP="00845212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В разделе</w:t>
      </w:r>
      <w:r>
        <w:rPr>
          <w:rFonts w:ascii="Times New Roman" w:eastAsia="Calibri" w:hAnsi="Times New Roman"/>
          <w:color w:val="000000"/>
          <w:sz w:val="28"/>
          <w:szCs w:val="28"/>
        </w:rPr>
        <w:t xml:space="preserve"> 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  <w:lang w:val="en-US"/>
        </w:rPr>
        <w:t>VIII</w:t>
      </w:r>
      <w:r w:rsidRPr="009B16F7">
        <w:rPr>
          <w:rFonts w:ascii="Times New Roman" w:eastAsia="Calibri" w:hAnsi="Times New Roman"/>
          <w:b/>
          <w:bCs/>
          <w:color w:val="000000"/>
          <w:sz w:val="28"/>
          <w:szCs w:val="28"/>
        </w:rPr>
        <w:t>. «</w:t>
      </w: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Организация проведения контрольных мероприятий»,</w:t>
      </w:r>
    </w:p>
    <w:p w:rsidR="00845212" w:rsidRDefault="00845212" w:rsidP="00845212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b/>
          <w:bCs/>
          <w:color w:val="000000"/>
          <w:sz w:val="28"/>
          <w:szCs w:val="28"/>
        </w:rPr>
        <w:t>пункт 89 и подпункт 1, пункт 97 читать в новой редакции и добавить в пункт 89 подпункт 5:</w:t>
      </w:r>
    </w:p>
    <w:p w:rsidR="00845212" w:rsidRDefault="00845212" w:rsidP="00845212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lastRenderedPageBreak/>
        <w:t>89. Внеплановые контрольные мероприятия, за исключением внеплановых контрольных мероприятий без взаимодействия, проводятся по основаниям, предусмотренным пунктами 1, 3 - 6 части 1 статьи 57 Федерального закона "О государственном контроле (надзоре) и муниципальном контроле в Российской Федерации".</w:t>
      </w:r>
    </w:p>
    <w:p w:rsidR="00845212" w:rsidRDefault="00845212" w:rsidP="00845212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1) наличие у контрольного (надзорного) органа сведений о причинении вреда (ущерба) или об угрозе причинения вреда (ущерба) охраняемым законом ценностям либо выявление соответствия объекта контроля параметрам, утвержденным </w:t>
      </w:r>
      <w:hyperlink r:id="rId5" w:anchor="dst100010" w:history="1">
        <w:r>
          <w:rPr>
            <w:rFonts w:ascii="Times New Roman" w:eastAsia="Calibri" w:hAnsi="Times New Roman"/>
            <w:color w:val="1A0DAB"/>
            <w:sz w:val="28"/>
            <w:szCs w:val="28"/>
            <w:u w:val="single"/>
            <w:shd w:val="clear" w:color="auto" w:fill="FFFFFF"/>
          </w:rPr>
          <w:t>индикаторами риска</w:t>
        </w:r>
      </w:hyperlink>
      <w:r>
        <w:rPr>
          <w:rFonts w:ascii="Times New Roman" w:eastAsia="Calibri" w:hAnsi="Times New Roman"/>
          <w:color w:val="000000"/>
          <w:sz w:val="28"/>
          <w:szCs w:val="28"/>
        </w:rPr>
        <w:t> нарушения обязательных требований, или отклонения объекта контроля от таких параметров;</w:t>
      </w:r>
    </w:p>
    <w:p w:rsidR="00845212" w:rsidRDefault="00845212" w:rsidP="00845212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 xml:space="preserve">  5) наступление события, указанного в программе проверок, если федеральным законом о виде контроля установлено, что контрольные (надзорные) мероприятия проводятся на основании программы проверок.</w:t>
      </w:r>
    </w:p>
    <w:p w:rsidR="00845212" w:rsidRDefault="00845212" w:rsidP="00845212">
      <w:pPr>
        <w:pStyle w:val="Standard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Calibri" w:hAnsi="Times New Roman"/>
          <w:color w:val="000000"/>
          <w:sz w:val="28"/>
          <w:szCs w:val="28"/>
        </w:rPr>
        <w:t>97. Контрольные мероприятия, проводимые при взаимодействии с контролируемым лицом, проводятся на основании решения о проведении контрольного мероприятия, которое принимается в порядке, установленном статьей 64 Федерального закона "О государственном контроле (надзоре) и муниципальном контроле в Российской Федерации".</w:t>
      </w:r>
    </w:p>
    <w:p w:rsidR="00845212" w:rsidRDefault="00845212" w:rsidP="00845212">
      <w:pPr>
        <w:pStyle w:val="Standard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45212" w:rsidRDefault="00845212" w:rsidP="00845212">
      <w:pPr>
        <w:pStyle w:val="Standard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</w:p>
    <w:p w:rsidR="00845212" w:rsidRDefault="00845212" w:rsidP="00845212">
      <w:pPr>
        <w:pStyle w:val="Standard"/>
        <w:ind w:firstLine="567"/>
        <w:jc w:val="both"/>
        <w:rPr>
          <w:rFonts w:ascii="Times New Roman" w:eastAsia="Calibri" w:hAnsi="Times New Roman"/>
          <w:b/>
          <w:bCs/>
          <w:color w:val="000000"/>
          <w:sz w:val="28"/>
          <w:szCs w:val="28"/>
        </w:rPr>
      </w:pPr>
    </w:p>
    <w:p w:rsidR="00A005FF" w:rsidRPr="00A005FF" w:rsidRDefault="00A005FF" w:rsidP="00845212">
      <w:pPr>
        <w:spacing w:after="0" w:line="240" w:lineRule="auto"/>
        <w:ind w:firstLine="743"/>
        <w:jc w:val="both"/>
        <w:outlineLvl w:val="0"/>
        <w:rPr>
          <w:rFonts w:ascii="Times New Roman" w:eastAsia="SimSun" w:hAnsi="Times New Roman" w:cs="Arial"/>
          <w:kern w:val="3"/>
          <w:sz w:val="28"/>
          <w:szCs w:val="28"/>
          <w:lang w:eastAsia="zh-CN" w:bidi="hi-IN"/>
        </w:rPr>
      </w:pPr>
    </w:p>
    <w:sectPr w:rsidR="00A005FF" w:rsidRPr="00A005FF" w:rsidSect="00AA5D95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181116"/>
    <w:multiLevelType w:val="multilevel"/>
    <w:tmpl w:val="4958486A"/>
    <w:styleLink w:val="WW8Num3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  <w:rPr>
        <w:rFonts w:eastAsia="Calibri"/>
        <w:b/>
        <w:color w:val="00000A"/>
        <w:sz w:val="28"/>
        <w:szCs w:val="28"/>
      </w:rPr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1" w15:restartNumberingAfterBreak="0">
    <w:nsid w:val="62157D8A"/>
    <w:multiLevelType w:val="hybridMultilevel"/>
    <w:tmpl w:val="711CD384"/>
    <w:lvl w:ilvl="0" w:tplc="A6267532">
      <w:start w:val="1"/>
      <w:numFmt w:val="decimal"/>
      <w:lvlText w:val="%1."/>
      <w:lvlJc w:val="left"/>
      <w:pPr>
        <w:ind w:left="7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99" w:hanging="360"/>
      </w:pPr>
    </w:lvl>
    <w:lvl w:ilvl="2" w:tplc="0419001B" w:tentative="1">
      <w:start w:val="1"/>
      <w:numFmt w:val="lowerRoman"/>
      <w:lvlText w:val="%3."/>
      <w:lvlJc w:val="right"/>
      <w:pPr>
        <w:ind w:left="2219" w:hanging="180"/>
      </w:pPr>
    </w:lvl>
    <w:lvl w:ilvl="3" w:tplc="0419000F" w:tentative="1">
      <w:start w:val="1"/>
      <w:numFmt w:val="decimal"/>
      <w:lvlText w:val="%4."/>
      <w:lvlJc w:val="left"/>
      <w:pPr>
        <w:ind w:left="2939" w:hanging="360"/>
      </w:pPr>
    </w:lvl>
    <w:lvl w:ilvl="4" w:tplc="04190019" w:tentative="1">
      <w:start w:val="1"/>
      <w:numFmt w:val="lowerLetter"/>
      <w:lvlText w:val="%5."/>
      <w:lvlJc w:val="left"/>
      <w:pPr>
        <w:ind w:left="3659" w:hanging="360"/>
      </w:pPr>
    </w:lvl>
    <w:lvl w:ilvl="5" w:tplc="0419001B" w:tentative="1">
      <w:start w:val="1"/>
      <w:numFmt w:val="lowerRoman"/>
      <w:lvlText w:val="%6."/>
      <w:lvlJc w:val="right"/>
      <w:pPr>
        <w:ind w:left="4379" w:hanging="180"/>
      </w:pPr>
    </w:lvl>
    <w:lvl w:ilvl="6" w:tplc="0419000F" w:tentative="1">
      <w:start w:val="1"/>
      <w:numFmt w:val="decimal"/>
      <w:lvlText w:val="%7."/>
      <w:lvlJc w:val="left"/>
      <w:pPr>
        <w:ind w:left="5099" w:hanging="360"/>
      </w:pPr>
    </w:lvl>
    <w:lvl w:ilvl="7" w:tplc="04190019" w:tentative="1">
      <w:start w:val="1"/>
      <w:numFmt w:val="lowerLetter"/>
      <w:lvlText w:val="%8."/>
      <w:lvlJc w:val="left"/>
      <w:pPr>
        <w:ind w:left="5819" w:hanging="360"/>
      </w:pPr>
    </w:lvl>
    <w:lvl w:ilvl="8" w:tplc="0419001B" w:tentative="1">
      <w:start w:val="1"/>
      <w:numFmt w:val="lowerRoman"/>
      <w:lvlText w:val="%9."/>
      <w:lvlJc w:val="right"/>
      <w:pPr>
        <w:ind w:left="653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E071E"/>
    <w:rsid w:val="000126C3"/>
    <w:rsid w:val="000433FB"/>
    <w:rsid w:val="00066A6B"/>
    <w:rsid w:val="0006716E"/>
    <w:rsid w:val="000C39EE"/>
    <w:rsid w:val="001639DB"/>
    <w:rsid w:val="001A05D2"/>
    <w:rsid w:val="001F6DAC"/>
    <w:rsid w:val="002D24A0"/>
    <w:rsid w:val="0032308C"/>
    <w:rsid w:val="00336F6D"/>
    <w:rsid w:val="00352369"/>
    <w:rsid w:val="003946C0"/>
    <w:rsid w:val="003D6F14"/>
    <w:rsid w:val="00403048"/>
    <w:rsid w:val="00410D77"/>
    <w:rsid w:val="004449FE"/>
    <w:rsid w:val="00452C7B"/>
    <w:rsid w:val="004E4D29"/>
    <w:rsid w:val="0055298C"/>
    <w:rsid w:val="005E071E"/>
    <w:rsid w:val="005F76AC"/>
    <w:rsid w:val="006332CC"/>
    <w:rsid w:val="006B7786"/>
    <w:rsid w:val="00707424"/>
    <w:rsid w:val="007A0CF0"/>
    <w:rsid w:val="007F7634"/>
    <w:rsid w:val="00816161"/>
    <w:rsid w:val="00845212"/>
    <w:rsid w:val="0087296C"/>
    <w:rsid w:val="008D5D23"/>
    <w:rsid w:val="00902BF9"/>
    <w:rsid w:val="00932221"/>
    <w:rsid w:val="00951D61"/>
    <w:rsid w:val="00A005FF"/>
    <w:rsid w:val="00AA5D95"/>
    <w:rsid w:val="00AD5EBD"/>
    <w:rsid w:val="00B41D88"/>
    <w:rsid w:val="00B71298"/>
    <w:rsid w:val="00BF2EA7"/>
    <w:rsid w:val="00C44557"/>
    <w:rsid w:val="00CF6688"/>
    <w:rsid w:val="00D4173C"/>
    <w:rsid w:val="00D45618"/>
    <w:rsid w:val="00D73CF6"/>
    <w:rsid w:val="00D97EE0"/>
    <w:rsid w:val="00DC5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93D8C8A"/>
  <w15:docId w15:val="{5903E363-A348-4103-86D1-9014E2907E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41D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B41D88"/>
    <w:rPr>
      <w:rFonts w:ascii="Segoe UI" w:hAnsi="Segoe UI" w:cs="Segoe UI"/>
      <w:sz w:val="18"/>
      <w:szCs w:val="18"/>
    </w:rPr>
  </w:style>
  <w:style w:type="paragraph" w:styleId="a5">
    <w:name w:val="List Paragraph"/>
    <w:basedOn w:val="a"/>
    <w:uiPriority w:val="34"/>
    <w:qFormat/>
    <w:rsid w:val="00410D77"/>
    <w:pPr>
      <w:ind w:left="720"/>
      <w:contextualSpacing/>
    </w:pPr>
  </w:style>
  <w:style w:type="numbering" w:customStyle="1" w:styleId="WW8Num3">
    <w:name w:val="WW8Num3"/>
    <w:basedOn w:val="a2"/>
    <w:rsid w:val="00A005FF"/>
    <w:pPr>
      <w:numPr>
        <w:numId w:val="2"/>
      </w:numPr>
    </w:pPr>
  </w:style>
  <w:style w:type="paragraph" w:customStyle="1" w:styleId="Standard">
    <w:name w:val="Standard"/>
    <w:rsid w:val="00845212"/>
    <w:pPr>
      <w:suppressAutoHyphens/>
      <w:autoSpaceDN w:val="0"/>
      <w:spacing w:after="0" w:line="240" w:lineRule="auto"/>
      <w:textAlignment w:val="baseline"/>
    </w:pPr>
    <w:rPr>
      <w:rFonts w:ascii="Liberation Serif" w:eastAsia="SimSun" w:hAnsi="Liberation Serif" w:cs="Arial"/>
      <w:kern w:val="3"/>
      <w:sz w:val="24"/>
      <w:szCs w:val="24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689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11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consultant.ru/document/cons_doc_LAW_422892/17fd8feb77d84e16f2f3e71cd7471757c8d9e50a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120</TotalTime>
  <Pages>4</Pages>
  <Words>1204</Words>
  <Characters>6865</Characters>
  <Application>Microsoft Office Word</Application>
  <DocSecurity>0</DocSecurity>
  <Lines>57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8053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49</cp:revision>
  <cp:lastPrinted>2023-06-09T13:18:00Z</cp:lastPrinted>
  <dcterms:created xsi:type="dcterms:W3CDTF">2011-11-30T11:54:00Z</dcterms:created>
  <dcterms:modified xsi:type="dcterms:W3CDTF">2023-06-14T09:57:00Z</dcterms:modified>
</cp:coreProperties>
</file>