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>РОССИЙСКАЯ ФЕДЕРАЦИЯ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>ТУЛЬСКАЯ ОБЛАСТЬ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>ВЕНЕВСКИЙ РАЙОН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 xml:space="preserve">СОБРАНИЕ ПРЕДСТАВИТЕЛЕЙ 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 xml:space="preserve">МУНИЦИПАЛЬНОГО ОБРАЗОВАНИЯ 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>ВЕНЕВСКИЙ РАЙОН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>7-го созыва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>15-е заседание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B93FAD">
        <w:rPr>
          <w:b/>
          <w:sz w:val="28"/>
          <w:szCs w:val="28"/>
          <w:lang w:eastAsia="ru-RU"/>
        </w:rPr>
        <w:t>Р Е Ш Е Н И Е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93FAD">
        <w:rPr>
          <w:sz w:val="28"/>
          <w:szCs w:val="28"/>
          <w:lang w:eastAsia="ru-RU"/>
        </w:rPr>
        <w:t xml:space="preserve">от 30 октября 2024 г.                                                                                </w:t>
      </w:r>
      <w:r w:rsidR="00D44CC0">
        <w:rPr>
          <w:sz w:val="28"/>
          <w:szCs w:val="28"/>
          <w:lang w:eastAsia="ru-RU"/>
        </w:rPr>
        <w:t xml:space="preserve">           </w:t>
      </w:r>
      <w:r w:rsidRPr="00B93FAD">
        <w:rPr>
          <w:sz w:val="28"/>
          <w:szCs w:val="28"/>
          <w:lang w:eastAsia="ru-RU"/>
        </w:rPr>
        <w:t xml:space="preserve"> № 15/9</w:t>
      </w:r>
      <w:r>
        <w:rPr>
          <w:sz w:val="28"/>
          <w:szCs w:val="28"/>
          <w:lang w:eastAsia="ru-RU"/>
        </w:rPr>
        <w:t>5</w:t>
      </w:r>
    </w:p>
    <w:p w:rsidR="00B93FAD" w:rsidRPr="00B93FAD" w:rsidRDefault="00B93FAD" w:rsidP="00B93FA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93FAD">
        <w:rPr>
          <w:sz w:val="28"/>
          <w:szCs w:val="28"/>
          <w:lang w:eastAsia="ru-RU"/>
        </w:rPr>
        <w:t>г. Венев</w:t>
      </w:r>
    </w:p>
    <w:p w:rsidR="00B93FAD" w:rsidRPr="00B93FAD" w:rsidRDefault="00B93FAD" w:rsidP="00B93FAD">
      <w:pPr>
        <w:tabs>
          <w:tab w:val="left" w:pos="1935"/>
          <w:tab w:val="center" w:pos="4677"/>
        </w:tabs>
        <w:rPr>
          <w:sz w:val="26"/>
          <w:szCs w:val="26"/>
          <w:lang w:eastAsia="ar-SA"/>
        </w:rPr>
      </w:pPr>
    </w:p>
    <w:p w:rsidR="00735CBF" w:rsidRDefault="00735CB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5CBF" w:rsidRDefault="00735CB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5CBF" w:rsidRDefault="00442E66">
      <w:pPr>
        <w:pStyle w:val="af1"/>
        <w:ind w:left="0"/>
        <w:jc w:val="center"/>
      </w:pPr>
      <w:r>
        <w:rPr>
          <w:b/>
          <w:sz w:val="28"/>
          <w:szCs w:val="28"/>
        </w:rPr>
        <w:t xml:space="preserve">О прогнозном плане (программе) приватизации муниципального имущества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на 202</w:t>
      </w:r>
      <w:r w:rsidRPr="00442E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735CBF" w:rsidRDefault="00735CBF">
      <w:pPr>
        <w:pStyle w:val="af1"/>
        <w:ind w:left="0"/>
        <w:jc w:val="center"/>
        <w:rPr>
          <w:b/>
          <w:sz w:val="28"/>
          <w:szCs w:val="28"/>
        </w:rPr>
      </w:pPr>
    </w:p>
    <w:p w:rsidR="00735CBF" w:rsidRDefault="00735CBF">
      <w:pPr>
        <w:pStyle w:val="af1"/>
        <w:ind w:left="0"/>
        <w:jc w:val="center"/>
        <w:rPr>
          <w:b/>
          <w:sz w:val="28"/>
          <w:szCs w:val="28"/>
        </w:rPr>
      </w:pPr>
    </w:p>
    <w:p w:rsidR="00735CBF" w:rsidRDefault="00442E66" w:rsidP="00B93FAD">
      <w:pPr>
        <w:pStyle w:val="af1"/>
        <w:ind w:left="0" w:firstLine="284"/>
      </w:pPr>
      <w:r>
        <w:rPr>
          <w:sz w:val="28"/>
          <w:szCs w:val="28"/>
        </w:rPr>
        <w:t xml:space="preserve">Руководствуясь Гражданским кодексом Российской Федерации, на основании Федерального Закон от 21.12.2001 №178-ФЗ «О приватизации государственного и муниципального имущества», в соответствии с Федеральным законом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рассмотрев обращение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в целях эффективного управления и распоряжения муниципальной собственностью, Собрание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РЕШИЛО:</w:t>
      </w:r>
    </w:p>
    <w:p w:rsidR="00735CBF" w:rsidRDefault="00442E66" w:rsidP="00B93FAD">
      <w:pPr>
        <w:pStyle w:val="ConsNormal"/>
        <w:widowControl/>
        <w:ind w:right="0" w:firstLine="284"/>
        <w:jc w:val="both"/>
      </w:pPr>
      <w:r>
        <w:rPr>
          <w:rFonts w:ascii="Times New Roman" w:hAnsi="Times New Roman"/>
          <w:sz w:val="28"/>
          <w:szCs w:val="28"/>
        </w:rPr>
        <w:t xml:space="preserve">1. Утвердить Прогнозный план (программу) приватизации муниципального имущества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 202</w:t>
      </w:r>
      <w:r w:rsidRPr="00442E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735CBF" w:rsidRDefault="00442E66" w:rsidP="00B93FAD">
      <w:pPr>
        <w:ind w:firstLine="284"/>
        <w:jc w:val="both"/>
      </w:pPr>
      <w:r>
        <w:rPr>
          <w:sz w:val="28"/>
          <w:szCs w:val="28"/>
          <w:lang w:eastAsia="ru-RU"/>
        </w:rPr>
        <w:t xml:space="preserve">2. Опубликовать настоящее решение в газете «Вести </w:t>
      </w:r>
      <w:proofErr w:type="spellStart"/>
      <w:r>
        <w:rPr>
          <w:sz w:val="28"/>
          <w:szCs w:val="28"/>
          <w:lang w:eastAsia="ru-RU"/>
        </w:rPr>
        <w:t>Веневского</w:t>
      </w:r>
      <w:proofErr w:type="spellEnd"/>
      <w:r>
        <w:rPr>
          <w:sz w:val="28"/>
          <w:szCs w:val="28"/>
          <w:lang w:eastAsia="ru-RU"/>
        </w:rPr>
        <w:t xml:space="preserve"> района»</w:t>
      </w:r>
      <w:r w:rsidR="00B93FAD">
        <w:rPr>
          <w:sz w:val="28"/>
          <w:szCs w:val="28"/>
          <w:lang w:eastAsia="ru-RU"/>
        </w:rPr>
        <w:t xml:space="preserve"> и на официальном сайте муниципального образования </w:t>
      </w:r>
      <w:proofErr w:type="spellStart"/>
      <w:r w:rsidR="00B93FAD">
        <w:rPr>
          <w:sz w:val="28"/>
          <w:szCs w:val="28"/>
          <w:lang w:eastAsia="ru-RU"/>
        </w:rPr>
        <w:t>Веневский</w:t>
      </w:r>
      <w:proofErr w:type="spellEnd"/>
      <w:r w:rsidR="00B93FAD">
        <w:rPr>
          <w:sz w:val="28"/>
          <w:szCs w:val="28"/>
          <w:lang w:eastAsia="ru-RU"/>
        </w:rPr>
        <w:t xml:space="preserve"> район</w:t>
      </w:r>
      <w:r>
        <w:rPr>
          <w:sz w:val="28"/>
          <w:szCs w:val="28"/>
          <w:lang w:eastAsia="ru-RU"/>
        </w:rPr>
        <w:t>.</w:t>
      </w:r>
    </w:p>
    <w:p w:rsidR="00735CBF" w:rsidRDefault="00442E66" w:rsidP="00B93FAD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 Настоящее решение вступает в силу с момента его </w:t>
      </w:r>
      <w:r w:rsidR="00B93FAD">
        <w:rPr>
          <w:sz w:val="28"/>
          <w:szCs w:val="28"/>
          <w:lang w:eastAsia="ru-RU"/>
        </w:rPr>
        <w:t xml:space="preserve">официального </w:t>
      </w:r>
      <w:r>
        <w:rPr>
          <w:sz w:val="28"/>
          <w:szCs w:val="28"/>
          <w:lang w:eastAsia="ru-RU"/>
        </w:rPr>
        <w:t>опубликования.</w:t>
      </w:r>
    </w:p>
    <w:p w:rsidR="00735CBF" w:rsidRDefault="00735CBF" w:rsidP="00B93FAD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p w:rsidR="00735CBF" w:rsidRDefault="00735CBF">
      <w:pPr>
        <w:ind w:firstLine="709"/>
        <w:jc w:val="both"/>
        <w:rPr>
          <w:sz w:val="28"/>
          <w:szCs w:val="28"/>
        </w:rPr>
      </w:pPr>
    </w:p>
    <w:p w:rsidR="00735CBF" w:rsidRDefault="00735CBF">
      <w:pPr>
        <w:ind w:firstLine="709"/>
        <w:jc w:val="both"/>
        <w:rPr>
          <w:sz w:val="28"/>
          <w:szCs w:val="28"/>
        </w:rPr>
      </w:pPr>
    </w:p>
    <w:tbl>
      <w:tblPr>
        <w:tblW w:w="10104" w:type="dxa"/>
        <w:tblInd w:w="186" w:type="dxa"/>
        <w:tblLayout w:type="fixed"/>
        <w:tblLook w:val="04A0" w:firstRow="1" w:lastRow="0" w:firstColumn="1" w:lastColumn="0" w:noHBand="0" w:noVBand="1"/>
      </w:tblPr>
      <w:tblGrid>
        <w:gridCol w:w="4943"/>
        <w:gridCol w:w="5161"/>
      </w:tblGrid>
      <w:tr w:rsidR="00735CBF">
        <w:tc>
          <w:tcPr>
            <w:tcW w:w="4943" w:type="dxa"/>
          </w:tcPr>
          <w:p w:rsidR="00735CBF" w:rsidRDefault="00442E66">
            <w:pPr>
              <w:widowControl w:val="0"/>
            </w:pPr>
            <w:r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160" w:type="dxa"/>
            <w:vAlign w:val="bottom"/>
          </w:tcPr>
          <w:p w:rsidR="00735CBF" w:rsidRDefault="00735CBF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735CBF" w:rsidRDefault="00442E66">
            <w:pPr>
              <w:widowControl w:val="0"/>
              <w:jc w:val="right"/>
            </w:pPr>
            <w:r>
              <w:rPr>
                <w:b/>
                <w:sz w:val="28"/>
                <w:szCs w:val="28"/>
              </w:rPr>
              <w:t>В.И. Кипиани</w:t>
            </w:r>
          </w:p>
        </w:tc>
      </w:tr>
    </w:tbl>
    <w:p w:rsidR="00735CBF" w:rsidRDefault="00735CBF">
      <w:pPr>
        <w:jc w:val="both"/>
        <w:rPr>
          <w:sz w:val="26"/>
          <w:szCs w:val="26"/>
        </w:rPr>
      </w:pPr>
    </w:p>
    <w:tbl>
      <w:tblPr>
        <w:tblW w:w="5388" w:type="dxa"/>
        <w:jc w:val="right"/>
        <w:tblLayout w:type="fixed"/>
        <w:tblLook w:val="04A0" w:firstRow="1" w:lastRow="0" w:firstColumn="1" w:lastColumn="0" w:noHBand="0" w:noVBand="1"/>
      </w:tblPr>
      <w:tblGrid>
        <w:gridCol w:w="3181"/>
        <w:gridCol w:w="2207"/>
      </w:tblGrid>
      <w:tr w:rsidR="00735CBF">
        <w:trPr>
          <w:cantSplit/>
          <w:trHeight w:val="866"/>
          <w:jc w:val="right"/>
        </w:trPr>
        <w:tc>
          <w:tcPr>
            <w:tcW w:w="5387" w:type="dxa"/>
            <w:gridSpan w:val="2"/>
          </w:tcPr>
          <w:p w:rsidR="00735CBF" w:rsidRDefault="00442E66">
            <w:pPr>
              <w:pStyle w:val="afe"/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735CBF" w:rsidRDefault="00442E66">
            <w:pPr>
              <w:pStyle w:val="afe"/>
              <w:widowControl w:val="0"/>
              <w:suppressAutoHyphens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 решению Собрания представителей муниципального образования</w:t>
            </w:r>
          </w:p>
          <w:p w:rsidR="00735CBF" w:rsidRDefault="00442E66">
            <w:pPr>
              <w:pStyle w:val="afe"/>
              <w:widowControl w:val="0"/>
              <w:suppressAutoHyphens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</w:tr>
      <w:tr w:rsidR="00735CBF">
        <w:trPr>
          <w:cantSplit/>
          <w:trHeight w:val="589"/>
          <w:jc w:val="right"/>
        </w:trPr>
        <w:tc>
          <w:tcPr>
            <w:tcW w:w="3180" w:type="dxa"/>
          </w:tcPr>
          <w:p w:rsidR="00735CBF" w:rsidRDefault="00B93FAD">
            <w:pPr>
              <w:pStyle w:val="afe"/>
              <w:widowControl w:val="0"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442E6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30.10.2024</w:t>
            </w:r>
            <w:r w:rsidR="00442E6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207" w:type="dxa"/>
          </w:tcPr>
          <w:p w:rsidR="00735CBF" w:rsidRDefault="00442E66">
            <w:pPr>
              <w:pStyle w:val="afe"/>
              <w:widowControl w:val="0"/>
              <w:suppressAutoHyphens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93FAD">
              <w:rPr>
                <w:rFonts w:ascii="Times New Roman" w:hAnsi="Times New Roman"/>
                <w:sz w:val="28"/>
                <w:szCs w:val="28"/>
              </w:rPr>
              <w:t>15/95</w:t>
            </w:r>
          </w:p>
        </w:tc>
      </w:tr>
    </w:tbl>
    <w:p w:rsidR="00735CBF" w:rsidRDefault="00735CBF">
      <w:pPr>
        <w:pStyle w:val="af1"/>
        <w:ind w:left="0"/>
        <w:jc w:val="center"/>
        <w:rPr>
          <w:b/>
          <w:sz w:val="28"/>
          <w:szCs w:val="28"/>
        </w:rPr>
      </w:pPr>
    </w:p>
    <w:p w:rsidR="00735CBF" w:rsidRDefault="00442E66">
      <w:pPr>
        <w:pStyle w:val="af1"/>
        <w:ind w:left="0"/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Прогнозный план (программа) приватизации </w:t>
      </w:r>
    </w:p>
    <w:p w:rsidR="00735CBF" w:rsidRDefault="00442E66">
      <w:pPr>
        <w:pStyle w:val="af1"/>
        <w:ind w:left="0"/>
        <w:jc w:val="center"/>
      </w:pPr>
      <w:r>
        <w:rPr>
          <w:b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на 202</w:t>
      </w:r>
      <w:r w:rsidRPr="00442E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735CBF" w:rsidRDefault="00735CB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35CBF" w:rsidRDefault="00442E66">
      <w:pPr>
        <w:widowControl w:val="0"/>
        <w:jc w:val="center"/>
        <w:outlineLvl w:val="1"/>
      </w:pPr>
      <w:r>
        <w:rPr>
          <w:sz w:val="28"/>
          <w:szCs w:val="28"/>
        </w:rPr>
        <w:t>Раздел I. Задачи приватизации муниципального</w:t>
      </w:r>
    </w:p>
    <w:p w:rsidR="00735CBF" w:rsidRDefault="00442E66">
      <w:pPr>
        <w:widowControl w:val="0"/>
        <w:jc w:val="center"/>
      </w:pPr>
      <w:r>
        <w:rPr>
          <w:sz w:val="28"/>
          <w:szCs w:val="28"/>
        </w:rPr>
        <w:t xml:space="preserve">имущества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на 202</w:t>
      </w:r>
      <w:r w:rsidRPr="00442E6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35CBF" w:rsidRDefault="00735CB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>1.1. Основными задачами приватизации муниципального имущества в 202</w:t>
      </w:r>
      <w:r w:rsidRPr="00442E66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как части формируемой в условиях рыночной экономики системы управления муниципальным имуществом,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>Главными целями приватизации в 202</w:t>
      </w:r>
      <w:r w:rsidRPr="00442E6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являются: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 xml:space="preserve">- обеспечение поступления неналоговых доходов в бюджет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приватизации муниципального имущества;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 xml:space="preserve">- сокращение расходов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на содержание имущества.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 xml:space="preserve">Основные принципы формирования Прогнозного плана (программы) приватизации муниципального имущества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район: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>- экономически обоснованный выбор объектов, подлежащих приватизации;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 xml:space="preserve">- установление способов приватизации, обеспечивающих максимальный доход бюджета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 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 xml:space="preserve">Планируемые поступления в бюджет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приватизации муниципального имущества в размере </w:t>
      </w:r>
      <w:r w:rsidRPr="00442E66">
        <w:rPr>
          <w:sz w:val="28"/>
          <w:szCs w:val="28"/>
        </w:rPr>
        <w:t>5,6</w:t>
      </w:r>
      <w:r>
        <w:rPr>
          <w:sz w:val="28"/>
          <w:szCs w:val="28"/>
        </w:rPr>
        <w:t xml:space="preserve"> млн. рублей в 2025 году предполагается обеспечить за счет: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>- продажи муниципальных нежилых зданий и помещений–</w:t>
      </w:r>
      <w:r w:rsidRPr="00442E66">
        <w:rPr>
          <w:sz w:val="28"/>
          <w:szCs w:val="28"/>
        </w:rPr>
        <w:t>4,2</w:t>
      </w:r>
      <w:r>
        <w:rPr>
          <w:sz w:val="28"/>
          <w:szCs w:val="28"/>
        </w:rPr>
        <w:t xml:space="preserve"> млн. рублей;</w:t>
      </w: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>- продажи земельных участков под нежилыми зданиями–</w:t>
      </w:r>
      <w:r w:rsidRPr="00442E66">
        <w:rPr>
          <w:sz w:val="28"/>
          <w:szCs w:val="28"/>
        </w:rPr>
        <w:t>1,4</w:t>
      </w:r>
      <w:r>
        <w:rPr>
          <w:sz w:val="28"/>
          <w:szCs w:val="28"/>
        </w:rPr>
        <w:t xml:space="preserve"> млн. рублей.</w:t>
      </w:r>
    </w:p>
    <w:p w:rsidR="00735CBF" w:rsidRDefault="00442E66">
      <w:pPr>
        <w:widowControl w:val="0"/>
        <w:ind w:firstLine="709"/>
        <w:jc w:val="both"/>
      </w:pPr>
      <w:proofErr w:type="gramStart"/>
      <w:r>
        <w:rPr>
          <w:sz w:val="28"/>
          <w:szCs w:val="28"/>
        </w:rPr>
        <w:t>Кроме того</w:t>
      </w:r>
      <w:proofErr w:type="gramEnd"/>
      <w:r>
        <w:rPr>
          <w:sz w:val="28"/>
          <w:szCs w:val="28"/>
        </w:rPr>
        <w:t xml:space="preserve"> НДС в федеральный бюджет-</w:t>
      </w:r>
      <w:r w:rsidRPr="00442E66">
        <w:rPr>
          <w:sz w:val="28"/>
          <w:szCs w:val="28"/>
        </w:rPr>
        <w:t>0,8</w:t>
      </w:r>
      <w:r>
        <w:rPr>
          <w:sz w:val="28"/>
          <w:szCs w:val="28"/>
        </w:rPr>
        <w:t xml:space="preserve"> млн. рублей.</w:t>
      </w:r>
    </w:p>
    <w:p w:rsidR="00735CBF" w:rsidRDefault="00735CB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5CBF" w:rsidRDefault="00442E66">
      <w:pPr>
        <w:pStyle w:val="ConsNonformat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Муниципальное имущество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приватизация которого планируется в 202</w:t>
      </w:r>
      <w:r w:rsidRPr="00442E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35CBF" w:rsidRDefault="00442E66">
      <w:pPr>
        <w:widowControl w:val="0"/>
        <w:ind w:firstLine="709"/>
        <w:jc w:val="center"/>
        <w:outlineLvl w:val="2"/>
      </w:pPr>
      <w:r>
        <w:rPr>
          <w:sz w:val="28"/>
          <w:szCs w:val="28"/>
        </w:rPr>
        <w:t>2.1. Перечень объектов недвижимости, подлежащих приватизации                        в 202</w:t>
      </w:r>
      <w:r w:rsidRPr="00442E66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735CBF" w:rsidRDefault="00735CBF">
      <w:pPr>
        <w:widowControl w:val="0"/>
        <w:ind w:firstLine="709"/>
        <w:jc w:val="center"/>
        <w:outlineLvl w:val="2"/>
        <w:rPr>
          <w:sz w:val="28"/>
          <w:szCs w:val="28"/>
        </w:rPr>
      </w:pPr>
    </w:p>
    <w:p w:rsidR="00735CBF" w:rsidRDefault="00442E66">
      <w:pPr>
        <w:widowControl w:val="0"/>
        <w:ind w:firstLine="709"/>
        <w:jc w:val="both"/>
      </w:pPr>
      <w:r>
        <w:rPr>
          <w:sz w:val="28"/>
          <w:szCs w:val="28"/>
        </w:rPr>
        <w:t>Способ приватизации-продажа на аукционе, открытом по составу участников и по форме подачи предложений о цене.</w:t>
      </w:r>
    </w:p>
    <w:p w:rsidR="00735CBF" w:rsidRDefault="00735CBF">
      <w:pPr>
        <w:widowControl w:val="0"/>
        <w:ind w:firstLine="709"/>
        <w:jc w:val="both"/>
      </w:pPr>
    </w:p>
    <w:tbl>
      <w:tblPr>
        <w:tblpPr w:leftFromText="180" w:rightFromText="180" w:vertAnchor="text" w:horzAnchor="margin" w:tblpX="108" w:tblpY="38"/>
        <w:tblW w:w="10152" w:type="dxa"/>
        <w:tblLayout w:type="fixed"/>
        <w:tblLook w:val="01E0" w:firstRow="1" w:lastRow="1" w:firstColumn="1" w:lastColumn="1" w:noHBand="0" w:noVBand="0"/>
      </w:tblPr>
      <w:tblGrid>
        <w:gridCol w:w="817"/>
        <w:gridCol w:w="7283"/>
        <w:gridCol w:w="2052"/>
      </w:tblGrid>
      <w:tr w:rsidR="00735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объекта и </w:t>
            </w:r>
            <w:r>
              <w:rPr>
                <w:sz w:val="28"/>
                <w:szCs w:val="28"/>
                <w:lang w:eastAsia="ru-RU"/>
              </w:rPr>
              <w:br/>
              <w:t>его местонахождение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Прогнозный </w:t>
            </w:r>
            <w:r>
              <w:rPr>
                <w:sz w:val="28"/>
                <w:szCs w:val="28"/>
                <w:lang w:eastAsia="ru-RU"/>
              </w:rPr>
              <w:br/>
              <w:t>доход</w:t>
            </w:r>
          </w:p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(тыс. руб.),</w:t>
            </w:r>
          </w:p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 т.ч. НДС-20%</w:t>
            </w:r>
          </w:p>
        </w:tc>
      </w:tr>
      <w:tr w:rsidR="00735CB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здание площадью 610,8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71:05:040405:325, расположенное по адресу: Тульская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с. Гати,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sz w:val="28"/>
                <w:szCs w:val="28"/>
                <w:lang w:eastAsia="ru-RU"/>
              </w:rPr>
              <w:t>Воронковка</w:t>
            </w:r>
            <w:proofErr w:type="spellEnd"/>
            <w:r>
              <w:rPr>
                <w:sz w:val="28"/>
                <w:szCs w:val="28"/>
                <w:lang w:eastAsia="ru-RU"/>
              </w:rPr>
              <w:t>, д. 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700</w:t>
            </w:r>
          </w:p>
        </w:tc>
      </w:tr>
      <w:tr w:rsidR="00735CB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земельный участок площадью 3800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71:05:040405:340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500</w:t>
            </w:r>
          </w:p>
        </w:tc>
      </w:tr>
      <w:tr w:rsidR="00735CB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здание (овощехранилище) площадью 599,5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71:05:010515:461, расположенное по адресу: Тульская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с. Дьяконово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600</w:t>
            </w:r>
          </w:p>
        </w:tc>
      </w:tr>
      <w:tr w:rsidR="00735CB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земельный участок площадью 1478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71:05:010515:471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230</w:t>
            </w:r>
          </w:p>
        </w:tc>
      </w:tr>
      <w:tr w:rsidR="00735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помещение площадью 30,3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с кадастровым номером 71:05:020509:272, расположенное по адресу: Тульская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п. Каменный,</w:t>
            </w:r>
            <w:r>
              <w:rPr>
                <w:bCs/>
                <w:sz w:val="28"/>
                <w:szCs w:val="28"/>
                <w:lang w:eastAsia="ru-RU"/>
              </w:rPr>
              <w:t xml:space="preserve"> ул. Березовая, д. 11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150</w:t>
            </w:r>
          </w:p>
        </w:tc>
      </w:tr>
      <w:tr w:rsidR="00735CB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здание площадью 62,7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71:05:010604:525, расположенное по адресу: Тульская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  <w:lang w:eastAsia="ru-RU"/>
              </w:rPr>
              <w:t>Козловка</w:t>
            </w:r>
            <w:proofErr w:type="spellEnd"/>
            <w:r>
              <w:rPr>
                <w:sz w:val="28"/>
                <w:szCs w:val="28"/>
                <w:lang w:eastAsia="ru-RU"/>
              </w:rPr>
              <w:t>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ул. Луговая, д. 13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735CB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земельный участок площадью 219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71:05:010604:857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</w:tc>
      </w:tr>
      <w:tr w:rsidR="00735CB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</w:pPr>
            <w:r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здание площадью 81,9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71:05:040105:329, расположенное по адресу: Тульская область, </w:t>
            </w:r>
            <w:proofErr w:type="spellStart"/>
            <w:r>
              <w:rPr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Поветкино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>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ул. Центральная, д. 5</w:t>
            </w:r>
            <w:r>
              <w:rPr>
                <w:bCs/>
                <w:sz w:val="28"/>
                <w:szCs w:val="28"/>
                <w:lang w:val="en-US" w:eastAsia="ru-RU"/>
              </w:rPr>
              <w:t>4-</w:t>
            </w:r>
            <w:r>
              <w:rPr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140</w:t>
            </w:r>
          </w:p>
        </w:tc>
      </w:tr>
      <w:tr w:rsidR="00735CB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земельный участок площадью 524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 кадастровым номером 71:05:040105:340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450</w:t>
            </w:r>
          </w:p>
        </w:tc>
      </w:tr>
      <w:tr w:rsidR="00735CBF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</w:pPr>
            <w:r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Нежилое здание площадью 215,3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кв.м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 кадастровым номером 71.05:050206:211, расположенное по адресу: Тульская область,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Борщевое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,                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ул. Лесная, д. 8-б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800</w:t>
            </w:r>
          </w:p>
        </w:tc>
      </w:tr>
      <w:tr w:rsidR="00735CBF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земельный участок площадью 1100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кв.м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с кадастровым номером 71:05:050206:322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170</w:t>
            </w:r>
          </w:p>
        </w:tc>
      </w:tr>
      <w:tr w:rsidR="00735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помещение площадью 61,0 </w:t>
            </w:r>
            <w:proofErr w:type="spell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с кадастровым номером 71:05:040203:361, расположенное по адресу: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Тульская область,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район, д. Островки,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ул. Школьная, д. 8, кв.1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ru-RU"/>
              </w:rPr>
              <w:t>200</w:t>
            </w:r>
          </w:p>
        </w:tc>
      </w:tr>
      <w:tr w:rsidR="00735CBF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здание площадью 437,9 </w:t>
            </w:r>
            <w:proofErr w:type="spell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с кадастровым номером 71:05:030204:2220, расположенное по адресу: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Тульская область,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район, г. Венев,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. Северный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2000</w:t>
            </w:r>
          </w:p>
        </w:tc>
      </w:tr>
      <w:tr w:rsidR="00735CBF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площадью 646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 кадастровым номером 71:05:030204:2363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350</w:t>
            </w:r>
          </w:p>
        </w:tc>
      </w:tr>
      <w:tr w:rsidR="00735CBF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Нежилое помещение площадью 56,6 </w:t>
            </w:r>
            <w:proofErr w:type="spellStart"/>
            <w:r>
              <w:rPr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с кадастровым номером 71:05:060101:888, расположенное по адресу: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Тульская область,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Оленьково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ул. Лесная, д. 71, кв. 1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75</w:t>
            </w:r>
          </w:p>
        </w:tc>
      </w:tr>
      <w:tr w:rsidR="00735CBF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помещение площадью 63,4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с кадастровым номером 71:05:050602:594, расположенное по адресу: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Тульская область,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район, п.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Бельковский</w:t>
            </w:r>
            <w:proofErr w:type="spellEnd"/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ул. Молодежная, д. 15, кв. 1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300</w:t>
            </w:r>
          </w:p>
        </w:tc>
      </w:tr>
      <w:tr w:rsidR="00735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6405</w:t>
            </w:r>
          </w:p>
        </w:tc>
      </w:tr>
      <w:tr w:rsidR="00735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 том числе:</w:t>
            </w:r>
          </w:p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Объекты недвижимости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5015</w:t>
            </w:r>
          </w:p>
        </w:tc>
      </w:tr>
      <w:tr w:rsidR="00735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в т.ч. НДС 20%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836</w:t>
            </w:r>
          </w:p>
        </w:tc>
      </w:tr>
      <w:tr w:rsidR="00735CB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735CBF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Земельные участки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CBF" w:rsidRDefault="00442E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1390</w:t>
            </w:r>
          </w:p>
        </w:tc>
      </w:tr>
    </w:tbl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p w:rsidR="00735CBF" w:rsidRDefault="00735CBF">
      <w:pPr>
        <w:widowControl w:val="0"/>
        <w:ind w:firstLine="709"/>
        <w:jc w:val="both"/>
      </w:pPr>
    </w:p>
    <w:sectPr w:rsidR="00735CBF" w:rsidSect="00D44CC0">
      <w:pgSz w:w="11906" w:h="16838"/>
      <w:pgMar w:top="993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CCD"/>
    <w:multiLevelType w:val="multilevel"/>
    <w:tmpl w:val="2D4AC2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1A2CC7"/>
    <w:multiLevelType w:val="multilevel"/>
    <w:tmpl w:val="FBE637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BF"/>
    <w:rsid w:val="00442E66"/>
    <w:rsid w:val="00735CBF"/>
    <w:rsid w:val="00B93FAD"/>
    <w:rsid w:val="00D4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2AF"/>
  <w15:docId w15:val="{81BF7E96-BB84-4800-B23A-43FDEC8D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12">
    <w:name w:val="Текст Знак1"/>
    <w:basedOn w:val="a0"/>
    <w:uiPriority w:val="99"/>
    <w:semiHidden/>
    <w:qFormat/>
    <w:rsid w:val="00F60A00"/>
    <w:rPr>
      <w:rFonts w:ascii="Consolas" w:hAnsi="Consolas"/>
      <w:sz w:val="21"/>
      <w:szCs w:val="21"/>
      <w:lang w:eastAsia="zh-CN"/>
    </w:rPr>
  </w:style>
  <w:style w:type="character" w:customStyle="1" w:styleId="aa">
    <w:name w:val="Основной текст с отступом Знак"/>
    <w:basedOn w:val="a0"/>
    <w:qFormat/>
    <w:rPr>
      <w:rFonts w:cs="Times New Roman"/>
      <w:sz w:val="24"/>
      <w:szCs w:val="24"/>
    </w:rPr>
  </w:style>
  <w:style w:type="character" w:customStyle="1" w:styleId="ab">
    <w:name w:val="Символ нумерации"/>
    <w:qFormat/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3">
    <w:name w:val="Название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</w:style>
  <w:style w:type="paragraph" w:styleId="af5">
    <w:name w:val="footer"/>
    <w:basedOn w:val="a"/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7">
    <w:name w:val="annotation subject"/>
    <w:basedOn w:val="16"/>
    <w:next w:val="16"/>
    <w:qFormat/>
    <w:rPr>
      <w:b/>
      <w:bCs/>
    </w:rPr>
  </w:style>
  <w:style w:type="paragraph" w:styleId="af8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</w:style>
  <w:style w:type="paragraph" w:styleId="afe">
    <w:name w:val="Plain Text"/>
    <w:basedOn w:val="a"/>
    <w:qFormat/>
    <w:rsid w:val="00F60A00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">
    <w:name w:val="Normal (Web)"/>
    <w:basedOn w:val="a"/>
    <w:qFormat/>
    <w:rsid w:val="00F60A00"/>
    <w:pPr>
      <w:suppressAutoHyphens w:val="0"/>
      <w:spacing w:beforeAutospacing="1" w:afterAutospacing="1"/>
    </w:pPr>
    <w:rPr>
      <w:lang w:eastAsia="ru-RU"/>
    </w:rPr>
  </w:style>
  <w:style w:type="paragraph" w:customStyle="1" w:styleId="19">
    <w:name w:val="Обычная таблица1"/>
    <w:qFormat/>
    <w:rPr>
      <w:rFonts w:eastAsia="Courier New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Courier New" w:hAnsi="Arial"/>
      <w:sz w:val="18"/>
    </w:rPr>
  </w:style>
  <w:style w:type="paragraph" w:customStyle="1" w:styleId="ConsTitle">
    <w:name w:val="ConsTitle"/>
    <w:qFormat/>
    <w:pPr>
      <w:widowControl w:val="0"/>
    </w:pPr>
    <w:rPr>
      <w:rFonts w:ascii="Arial" w:eastAsia="Courier New" w:hAnsi="Arial" w:cs="Arial"/>
      <w:b/>
      <w:bCs/>
    </w:rPr>
  </w:style>
  <w:style w:type="paragraph" w:customStyle="1" w:styleId="ConsNonformat">
    <w:name w:val="ConsNonformat"/>
    <w:qFormat/>
    <w:pPr>
      <w:widowControl w:val="0"/>
    </w:pPr>
    <w:rPr>
      <w:rFonts w:ascii="Courier New" w:eastAsia="Courier New" w:hAnsi="Courier New" w:cs="Courier New"/>
      <w:sz w:val="18"/>
      <w:szCs w:val="18"/>
    </w:rPr>
  </w:style>
  <w:style w:type="table" w:styleId="aff0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User</cp:lastModifiedBy>
  <cp:revision>4</cp:revision>
  <cp:lastPrinted>2024-10-15T10:55:00Z</cp:lastPrinted>
  <dcterms:created xsi:type="dcterms:W3CDTF">2024-10-23T07:22:00Z</dcterms:created>
  <dcterms:modified xsi:type="dcterms:W3CDTF">2024-10-29T08:00:00Z</dcterms:modified>
  <dc:language>ru-RU</dc:language>
</cp:coreProperties>
</file>