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83" w:rsidRPr="00E13CC7" w:rsidRDefault="00426D83" w:rsidP="00426D83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РОССИЙСКАЯ ФЕДЕРАЦИЯ</w:t>
      </w:r>
    </w:p>
    <w:p w:rsidR="00426D83" w:rsidRPr="00E13CC7" w:rsidRDefault="00426D83" w:rsidP="00426D83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ТУЛЬСКАЯ ОБЛАСТЬ</w:t>
      </w:r>
    </w:p>
    <w:p w:rsidR="00426D83" w:rsidRPr="00E13CC7" w:rsidRDefault="00426D83" w:rsidP="00426D83">
      <w:pPr>
        <w:jc w:val="center"/>
        <w:rPr>
          <w:b/>
          <w:sz w:val="32"/>
          <w:szCs w:val="32"/>
        </w:rPr>
      </w:pPr>
    </w:p>
    <w:p w:rsidR="00426D83" w:rsidRPr="00E13CC7" w:rsidRDefault="00426D83" w:rsidP="00426D83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 xml:space="preserve">МУНИЦИПАЛЬНОЕ ОБРАЗОВАНИЕ ГОРОД </w:t>
      </w:r>
    </w:p>
    <w:p w:rsidR="00426D83" w:rsidRPr="00E13CC7" w:rsidRDefault="00426D83" w:rsidP="00426D83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ВЕНЕВ ВЕНЕВСКОГО РАЙОНА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 xml:space="preserve">Собрание депутатов </w:t>
      </w:r>
      <w:proofErr w:type="gramStart"/>
      <w:r w:rsidRPr="00945449">
        <w:rPr>
          <w:b/>
          <w:sz w:val="28"/>
          <w:szCs w:val="28"/>
        </w:rPr>
        <w:t>муниципального</w:t>
      </w:r>
      <w:proofErr w:type="gramEnd"/>
      <w:r w:rsidRPr="00945449">
        <w:rPr>
          <w:b/>
          <w:sz w:val="28"/>
          <w:szCs w:val="28"/>
        </w:rPr>
        <w:t xml:space="preserve"> 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образования город Венев Веневского района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3-го созыва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945449">
        <w:rPr>
          <w:b/>
          <w:sz w:val="28"/>
          <w:szCs w:val="28"/>
        </w:rPr>
        <w:t>-е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заседание</w:t>
      </w:r>
    </w:p>
    <w:p w:rsidR="00426D83" w:rsidRDefault="00426D83" w:rsidP="00426D83">
      <w:pPr>
        <w:jc w:val="center"/>
        <w:rPr>
          <w:sz w:val="28"/>
          <w:szCs w:val="28"/>
        </w:rPr>
      </w:pPr>
    </w:p>
    <w:p w:rsidR="00426D83" w:rsidRPr="00E13CC7" w:rsidRDefault="007863C5" w:rsidP="007863C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  <w:r w:rsidR="00426D83">
        <w:rPr>
          <w:b/>
          <w:sz w:val="32"/>
          <w:szCs w:val="32"/>
        </w:rPr>
        <w:t xml:space="preserve"> </w:t>
      </w:r>
      <w:r w:rsidR="00426D83" w:rsidRPr="00E13CC7">
        <w:rPr>
          <w:b/>
          <w:sz w:val="32"/>
          <w:szCs w:val="32"/>
        </w:rPr>
        <w:t>РЕШЕНИЕ</w:t>
      </w:r>
      <w:r w:rsidR="00426D83">
        <w:rPr>
          <w:b/>
          <w:sz w:val="32"/>
          <w:szCs w:val="32"/>
        </w:rPr>
        <w:t xml:space="preserve">                              </w:t>
      </w:r>
    </w:p>
    <w:p w:rsidR="00426D83" w:rsidRPr="00945449" w:rsidRDefault="00426D83" w:rsidP="00426D83">
      <w:pPr>
        <w:jc w:val="center"/>
        <w:rPr>
          <w:b/>
          <w:sz w:val="28"/>
          <w:szCs w:val="28"/>
        </w:rPr>
      </w:pPr>
    </w:p>
    <w:p w:rsidR="00426D83" w:rsidRPr="00193ED1" w:rsidRDefault="007863C5" w:rsidP="00426D83">
      <w:pPr>
        <w:rPr>
          <w:sz w:val="28"/>
          <w:szCs w:val="28"/>
        </w:rPr>
      </w:pPr>
      <w:r>
        <w:rPr>
          <w:sz w:val="28"/>
          <w:szCs w:val="28"/>
        </w:rPr>
        <w:t>От «22» апреля 2014</w:t>
      </w:r>
      <w:r w:rsidR="00426D83" w:rsidRPr="00193ED1">
        <w:rPr>
          <w:sz w:val="28"/>
          <w:szCs w:val="28"/>
        </w:rPr>
        <w:t xml:space="preserve">г.                                                                          </w:t>
      </w:r>
      <w:r>
        <w:rPr>
          <w:sz w:val="28"/>
          <w:szCs w:val="28"/>
        </w:rPr>
        <w:t xml:space="preserve">        № 10/4</w:t>
      </w:r>
    </w:p>
    <w:p w:rsidR="00426D83" w:rsidRPr="00193ED1" w:rsidRDefault="00426D83" w:rsidP="00426D83">
      <w:pPr>
        <w:rPr>
          <w:sz w:val="28"/>
          <w:szCs w:val="28"/>
        </w:rPr>
      </w:pPr>
      <w:r w:rsidRPr="00193ED1">
        <w:rPr>
          <w:sz w:val="28"/>
          <w:szCs w:val="28"/>
        </w:rPr>
        <w:t>г. Венев</w:t>
      </w:r>
    </w:p>
    <w:p w:rsidR="00426D83" w:rsidRPr="00945449" w:rsidRDefault="00426D83" w:rsidP="00426D83">
      <w:pPr>
        <w:rPr>
          <w:sz w:val="28"/>
          <w:szCs w:val="28"/>
        </w:rPr>
      </w:pPr>
    </w:p>
    <w:p w:rsidR="00426D83" w:rsidRPr="00426D83" w:rsidRDefault="00426D83" w:rsidP="00426D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6D83">
        <w:rPr>
          <w:b/>
          <w:bCs/>
          <w:sz w:val="28"/>
          <w:szCs w:val="28"/>
        </w:rPr>
        <w:t>Об утверждении норм накопления твердых бытовых отходов и крупногабаритного мусора для жилищного фонда</w:t>
      </w:r>
    </w:p>
    <w:p w:rsidR="00426D83" w:rsidRPr="00426D83" w:rsidRDefault="00426D83" w:rsidP="00426D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6D83">
        <w:rPr>
          <w:b/>
          <w:bCs/>
          <w:sz w:val="28"/>
          <w:szCs w:val="28"/>
        </w:rPr>
        <w:t xml:space="preserve"> муниципального образования </w:t>
      </w:r>
      <w:r>
        <w:rPr>
          <w:b/>
          <w:bCs/>
          <w:sz w:val="28"/>
          <w:szCs w:val="28"/>
        </w:rPr>
        <w:t>город Венев Веневского</w:t>
      </w:r>
      <w:r w:rsidRPr="00426D83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426D83" w:rsidRPr="00426D83" w:rsidRDefault="00426D83" w:rsidP="00426D8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D83" w:rsidRPr="00426D83" w:rsidRDefault="00426D83" w:rsidP="00426D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26D83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5" w:history="1">
        <w:r w:rsidRPr="00426D83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26D83">
        <w:rPr>
          <w:rFonts w:eastAsia="Calibri"/>
          <w:sz w:val="28"/>
          <w:szCs w:val="28"/>
          <w:lang w:eastAsia="en-US"/>
        </w:rPr>
        <w:t xml:space="preserve"> от 30.03.1999 г. № 52-ФЗ «О санитарно-эпидемиологическом благополучии населения», Федеральным </w:t>
      </w:r>
      <w:hyperlink r:id="rId6" w:history="1">
        <w:r w:rsidRPr="00426D83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26D83">
        <w:rPr>
          <w:rFonts w:eastAsia="Calibri"/>
          <w:sz w:val="28"/>
          <w:szCs w:val="28"/>
          <w:lang w:eastAsia="en-US"/>
        </w:rPr>
        <w:t xml:space="preserve"> от 06.10.2003 г. № 131-ФЗ «Об общих принципах организации местного самоуправления в Российской Федерации», принимая во внимание научно-технический отчет о результатах научно-исследовательской работы «Разработка норм накопления ТБО для объектов санитарной очистки города Венев Тульской области», подготовленный ФГУП Ордена Трудового Красного Знамени «Академией коммунального хозяйства им. К.</w:t>
      </w:r>
      <w:proofErr w:type="gramEnd"/>
      <w:r w:rsidRPr="00426D83">
        <w:rPr>
          <w:rFonts w:eastAsia="Calibri"/>
          <w:sz w:val="28"/>
          <w:szCs w:val="28"/>
          <w:lang w:eastAsia="en-US"/>
        </w:rPr>
        <w:t xml:space="preserve">Д. Памфилова», на основании Устава муниципального образования </w:t>
      </w:r>
      <w:r>
        <w:rPr>
          <w:rFonts w:eastAsia="Calibri"/>
          <w:sz w:val="28"/>
          <w:szCs w:val="28"/>
          <w:lang w:eastAsia="en-US"/>
        </w:rPr>
        <w:t>город Венев Веневского</w:t>
      </w:r>
      <w:r w:rsidRPr="00426D83">
        <w:rPr>
          <w:rFonts w:eastAsia="Calibri"/>
          <w:sz w:val="28"/>
          <w:szCs w:val="28"/>
          <w:lang w:eastAsia="en-US"/>
        </w:rPr>
        <w:t xml:space="preserve"> район</w:t>
      </w:r>
      <w:r>
        <w:rPr>
          <w:rFonts w:eastAsia="Calibri"/>
          <w:sz w:val="28"/>
          <w:szCs w:val="28"/>
          <w:lang w:eastAsia="en-US"/>
        </w:rPr>
        <w:t>а, Собрание депутатов</w:t>
      </w:r>
      <w:r w:rsidRPr="00426D83">
        <w:rPr>
          <w:rFonts w:eastAsia="Calibri"/>
          <w:sz w:val="28"/>
          <w:szCs w:val="28"/>
          <w:lang w:eastAsia="en-US"/>
        </w:rPr>
        <w:t xml:space="preserve"> муниципального образования </w:t>
      </w:r>
      <w:r>
        <w:rPr>
          <w:rFonts w:eastAsia="Calibri"/>
          <w:sz w:val="28"/>
          <w:szCs w:val="28"/>
          <w:lang w:eastAsia="en-US"/>
        </w:rPr>
        <w:t>город Венев Веневского</w:t>
      </w:r>
      <w:r w:rsidRPr="00426D83">
        <w:rPr>
          <w:rFonts w:eastAsia="Calibri"/>
          <w:sz w:val="28"/>
          <w:szCs w:val="28"/>
          <w:lang w:eastAsia="en-US"/>
        </w:rPr>
        <w:t xml:space="preserve"> район</w:t>
      </w:r>
      <w:r>
        <w:rPr>
          <w:rFonts w:eastAsia="Calibri"/>
          <w:sz w:val="28"/>
          <w:szCs w:val="28"/>
          <w:lang w:eastAsia="en-US"/>
        </w:rPr>
        <w:t>а</w:t>
      </w:r>
      <w:r w:rsidRPr="00426D83">
        <w:rPr>
          <w:rFonts w:eastAsia="Calibri"/>
          <w:sz w:val="28"/>
          <w:szCs w:val="28"/>
          <w:lang w:eastAsia="en-US"/>
        </w:rPr>
        <w:t xml:space="preserve"> РЕШИЛО:</w:t>
      </w:r>
    </w:p>
    <w:p w:rsidR="00426D83" w:rsidRPr="00426D83" w:rsidRDefault="00426D83" w:rsidP="00426D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26D83">
        <w:rPr>
          <w:rFonts w:eastAsia="Calibri"/>
          <w:sz w:val="28"/>
          <w:szCs w:val="28"/>
          <w:lang w:eastAsia="en-US"/>
        </w:rPr>
        <w:t xml:space="preserve">1. Утвердить нормы накопления твердых бытовых отходов и крупногабаритных отходов для жилищного фонда муниципального образования </w:t>
      </w:r>
      <w:r>
        <w:rPr>
          <w:rFonts w:eastAsia="Calibri"/>
          <w:sz w:val="28"/>
          <w:szCs w:val="28"/>
          <w:lang w:eastAsia="en-US"/>
        </w:rPr>
        <w:t>город Венев Веневского</w:t>
      </w:r>
      <w:r w:rsidRPr="00426D83">
        <w:rPr>
          <w:rFonts w:eastAsia="Calibri"/>
          <w:sz w:val="28"/>
          <w:szCs w:val="28"/>
          <w:lang w:eastAsia="en-US"/>
        </w:rPr>
        <w:t xml:space="preserve"> район</w:t>
      </w:r>
      <w:r>
        <w:rPr>
          <w:rFonts w:eastAsia="Calibri"/>
          <w:sz w:val="28"/>
          <w:szCs w:val="28"/>
          <w:lang w:eastAsia="en-US"/>
        </w:rPr>
        <w:t>а</w:t>
      </w:r>
      <w:r w:rsidRPr="00426D83">
        <w:rPr>
          <w:rFonts w:eastAsia="Calibri"/>
          <w:sz w:val="28"/>
          <w:szCs w:val="28"/>
          <w:lang w:eastAsia="en-US"/>
        </w:rPr>
        <w:t xml:space="preserve"> (Приложение).</w:t>
      </w:r>
    </w:p>
    <w:p w:rsidR="00426D83" w:rsidRPr="00426D83" w:rsidRDefault="00426D83" w:rsidP="00426D8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426D83">
        <w:rPr>
          <w:rFonts w:eastAsia="Calibri"/>
          <w:sz w:val="28"/>
          <w:szCs w:val="28"/>
          <w:lang w:eastAsia="en-US"/>
        </w:rPr>
        <w:t>. Решение вступает в силу со дня официального опубликования в средствах массовой информации.</w:t>
      </w:r>
    </w:p>
    <w:p w:rsidR="00426D83" w:rsidRDefault="00426D83" w:rsidP="00426D83"/>
    <w:p w:rsidR="00426D83" w:rsidRDefault="00426D83" w:rsidP="00426D83"/>
    <w:p w:rsidR="00426D83" w:rsidRPr="000F46FE" w:rsidRDefault="00426D83" w:rsidP="00426D83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426D83" w:rsidRPr="000F46FE" w:rsidRDefault="00426D83" w:rsidP="00426D83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Веневского района         </w:t>
      </w:r>
      <w:r>
        <w:rPr>
          <w:b/>
          <w:sz w:val="28"/>
          <w:szCs w:val="28"/>
        </w:rPr>
        <w:t xml:space="preserve">                        </w:t>
      </w:r>
      <w:r w:rsidRPr="000F46FE">
        <w:rPr>
          <w:b/>
          <w:sz w:val="28"/>
          <w:szCs w:val="28"/>
        </w:rPr>
        <w:t xml:space="preserve">             Н.Н. </w:t>
      </w:r>
      <w:proofErr w:type="spellStart"/>
      <w:r w:rsidRPr="000F46FE">
        <w:rPr>
          <w:b/>
          <w:sz w:val="28"/>
          <w:szCs w:val="28"/>
        </w:rPr>
        <w:t>Малазония</w:t>
      </w:r>
      <w:proofErr w:type="spellEnd"/>
    </w:p>
    <w:p w:rsidR="00426D83" w:rsidRDefault="00426D83" w:rsidP="00426D83"/>
    <w:p w:rsidR="00BE3E08" w:rsidRDefault="00BE3E08"/>
    <w:p w:rsidR="00426D83" w:rsidRPr="00426D83" w:rsidRDefault="00426D83" w:rsidP="00426D83">
      <w:pPr>
        <w:autoSpaceDE w:val="0"/>
        <w:autoSpaceDN w:val="0"/>
        <w:adjustRightInd w:val="0"/>
        <w:ind w:left="4248"/>
        <w:jc w:val="right"/>
        <w:outlineLvl w:val="0"/>
        <w:rPr>
          <w:sz w:val="28"/>
          <w:szCs w:val="28"/>
        </w:rPr>
      </w:pPr>
    </w:p>
    <w:p w:rsidR="00426D83" w:rsidRPr="00426D83" w:rsidRDefault="00426D83" w:rsidP="00426D83">
      <w:pPr>
        <w:autoSpaceDE w:val="0"/>
        <w:autoSpaceDN w:val="0"/>
        <w:adjustRightInd w:val="0"/>
        <w:ind w:left="4248"/>
        <w:jc w:val="right"/>
        <w:outlineLvl w:val="0"/>
        <w:rPr>
          <w:sz w:val="28"/>
          <w:szCs w:val="28"/>
        </w:rPr>
      </w:pPr>
      <w:r w:rsidRPr="00426D83">
        <w:rPr>
          <w:sz w:val="28"/>
          <w:szCs w:val="28"/>
        </w:rPr>
        <w:t xml:space="preserve">Приложение  </w:t>
      </w:r>
    </w:p>
    <w:p w:rsidR="00426D83" w:rsidRPr="00426D83" w:rsidRDefault="00426D83" w:rsidP="00426D83">
      <w:pPr>
        <w:autoSpaceDE w:val="0"/>
        <w:autoSpaceDN w:val="0"/>
        <w:adjustRightInd w:val="0"/>
        <w:ind w:left="4248"/>
        <w:jc w:val="right"/>
        <w:outlineLvl w:val="0"/>
        <w:rPr>
          <w:sz w:val="28"/>
          <w:szCs w:val="28"/>
        </w:rPr>
      </w:pPr>
      <w:r w:rsidRPr="00426D83">
        <w:rPr>
          <w:sz w:val="28"/>
          <w:szCs w:val="28"/>
        </w:rPr>
        <w:t xml:space="preserve">к решению Собрания </w:t>
      </w:r>
      <w:r>
        <w:rPr>
          <w:sz w:val="28"/>
          <w:szCs w:val="28"/>
        </w:rPr>
        <w:t>депутатов</w:t>
      </w:r>
    </w:p>
    <w:p w:rsidR="00426D83" w:rsidRPr="00426D83" w:rsidRDefault="00426D83" w:rsidP="00426D83">
      <w:pPr>
        <w:autoSpaceDE w:val="0"/>
        <w:autoSpaceDN w:val="0"/>
        <w:adjustRightInd w:val="0"/>
        <w:ind w:left="4248"/>
        <w:jc w:val="right"/>
        <w:outlineLvl w:val="0"/>
        <w:rPr>
          <w:sz w:val="28"/>
          <w:szCs w:val="28"/>
        </w:rPr>
      </w:pPr>
      <w:r w:rsidRPr="00426D83">
        <w:rPr>
          <w:sz w:val="28"/>
          <w:szCs w:val="28"/>
        </w:rPr>
        <w:t>муниципального образования</w:t>
      </w:r>
    </w:p>
    <w:p w:rsidR="00426D83" w:rsidRPr="00426D83" w:rsidRDefault="00426D83" w:rsidP="00426D83">
      <w:pPr>
        <w:autoSpaceDE w:val="0"/>
        <w:autoSpaceDN w:val="0"/>
        <w:adjustRightInd w:val="0"/>
        <w:ind w:left="4248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город Венев Веневского</w:t>
      </w:r>
      <w:r w:rsidRPr="00426D8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26D83">
        <w:rPr>
          <w:sz w:val="28"/>
          <w:szCs w:val="28"/>
        </w:rPr>
        <w:t xml:space="preserve">                                                        </w:t>
      </w:r>
      <w:r w:rsidR="007863C5">
        <w:rPr>
          <w:sz w:val="28"/>
          <w:szCs w:val="28"/>
        </w:rPr>
        <w:t xml:space="preserve">                       от 22.04.2014г. № 10/4</w:t>
      </w:r>
      <w:bookmarkStart w:id="0" w:name="_GoBack"/>
      <w:bookmarkEnd w:id="0"/>
    </w:p>
    <w:p w:rsidR="00426D83" w:rsidRPr="00426D83" w:rsidRDefault="00426D83" w:rsidP="00426D83">
      <w:pPr>
        <w:autoSpaceDE w:val="0"/>
        <w:autoSpaceDN w:val="0"/>
        <w:adjustRightInd w:val="0"/>
        <w:ind w:left="4248"/>
        <w:jc w:val="center"/>
        <w:outlineLvl w:val="0"/>
        <w:rPr>
          <w:sz w:val="28"/>
          <w:szCs w:val="28"/>
        </w:rPr>
      </w:pPr>
    </w:p>
    <w:p w:rsidR="00426D83" w:rsidRPr="00426D83" w:rsidRDefault="00426D83" w:rsidP="00426D83">
      <w:pPr>
        <w:autoSpaceDE w:val="0"/>
        <w:autoSpaceDN w:val="0"/>
        <w:adjustRightInd w:val="0"/>
        <w:ind w:left="2832"/>
        <w:jc w:val="center"/>
        <w:outlineLvl w:val="1"/>
        <w:rPr>
          <w:sz w:val="28"/>
          <w:szCs w:val="28"/>
        </w:rPr>
      </w:pPr>
    </w:p>
    <w:p w:rsidR="00426D83" w:rsidRPr="00426D83" w:rsidRDefault="00426D83" w:rsidP="00426D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6D83">
        <w:rPr>
          <w:b/>
          <w:bCs/>
          <w:sz w:val="28"/>
          <w:szCs w:val="28"/>
        </w:rPr>
        <w:t>Нормы накопления</w:t>
      </w:r>
    </w:p>
    <w:p w:rsidR="00426D83" w:rsidRPr="00426D83" w:rsidRDefault="00426D83" w:rsidP="00426D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6D83">
        <w:rPr>
          <w:b/>
          <w:bCs/>
          <w:sz w:val="28"/>
          <w:szCs w:val="28"/>
        </w:rPr>
        <w:t xml:space="preserve">твердых бытовых отходов и крупногабаритного мусора для жилищного фонда муниципального образования </w:t>
      </w:r>
      <w:r>
        <w:rPr>
          <w:b/>
          <w:bCs/>
          <w:sz w:val="28"/>
          <w:szCs w:val="28"/>
        </w:rPr>
        <w:t>город Венев Веневского</w:t>
      </w:r>
      <w:r w:rsidRPr="00426D83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426D83" w:rsidRPr="00426D83" w:rsidRDefault="00426D83" w:rsidP="00426D8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99" w:type="dxa"/>
        <w:tblInd w:w="-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"/>
        <w:gridCol w:w="2121"/>
        <w:gridCol w:w="992"/>
        <w:gridCol w:w="1883"/>
        <w:gridCol w:w="1939"/>
        <w:gridCol w:w="1940"/>
      </w:tblGrid>
      <w:tr w:rsidR="00426D83" w:rsidRPr="00426D83" w:rsidTr="00F04140">
        <w:trPr>
          <w:cantSplit/>
          <w:trHeight w:val="1057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 xml:space="preserve">№ </w:t>
            </w:r>
            <w:proofErr w:type="gramStart"/>
            <w:r w:rsidRPr="00426D83">
              <w:t>п</w:t>
            </w:r>
            <w:proofErr w:type="gramEnd"/>
            <w:r w:rsidRPr="00426D83">
              <w:t>/п</w:t>
            </w:r>
          </w:p>
        </w:tc>
        <w:tc>
          <w:tcPr>
            <w:tcW w:w="311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Наименование объектов образования отходов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tabs>
                <w:tab w:val="left" w:pos="1665"/>
              </w:tabs>
              <w:jc w:val="center"/>
            </w:pPr>
            <w:r w:rsidRPr="00426D83">
              <w:t>Единица измерения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tabs>
                <w:tab w:val="left" w:pos="1665"/>
              </w:tabs>
              <w:jc w:val="center"/>
            </w:pPr>
            <w:r w:rsidRPr="00426D83">
              <w:t>Среднегодовая норма накопления, м</w:t>
            </w:r>
            <w:r w:rsidRPr="00426D83">
              <w:rPr>
                <w:vertAlign w:val="superscript"/>
              </w:rPr>
              <w:t>3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tabs>
                <w:tab w:val="left" w:pos="1665"/>
              </w:tabs>
              <w:jc w:val="center"/>
            </w:pPr>
            <w:r w:rsidRPr="00426D83">
              <w:t>% отклонения</w:t>
            </w:r>
          </w:p>
        </w:tc>
      </w:tr>
      <w:tr w:rsidR="00426D83" w:rsidRPr="00426D83" w:rsidTr="00F04140">
        <w:trPr>
          <w:cantSplit/>
          <w:trHeight w:val="24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</w:pPr>
            <w:r w:rsidRPr="00426D83">
              <w:t>1</w:t>
            </w:r>
          </w:p>
        </w:tc>
        <w:tc>
          <w:tcPr>
            <w:tcW w:w="3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3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4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5</w:t>
            </w:r>
          </w:p>
        </w:tc>
      </w:tr>
      <w:tr w:rsidR="00426D83" w:rsidRPr="00426D83" w:rsidTr="00F04140">
        <w:trPr>
          <w:cantSplit/>
          <w:trHeight w:val="240"/>
        </w:trPr>
        <w:tc>
          <w:tcPr>
            <w:tcW w:w="9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left="720"/>
              <w:rPr>
                <w:b/>
              </w:rPr>
            </w:pPr>
            <w:r w:rsidRPr="00426D83">
              <w:rPr>
                <w:b/>
              </w:rPr>
              <w:t xml:space="preserve">                                                Жилищный фонд</w:t>
            </w:r>
          </w:p>
        </w:tc>
      </w:tr>
      <w:tr w:rsidR="00426D83" w:rsidRPr="00426D83" w:rsidTr="00F04140">
        <w:trPr>
          <w:cantSplit/>
          <w:trHeight w:val="570"/>
        </w:trPr>
        <w:tc>
          <w:tcPr>
            <w:tcW w:w="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</w:pPr>
            <w:r w:rsidRPr="00426D83">
              <w:t>1.1.</w:t>
            </w:r>
          </w:p>
        </w:tc>
        <w:tc>
          <w:tcPr>
            <w:tcW w:w="21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Благоустроенный жилищный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ТБО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D83">
              <w:t>на 1-ого жителя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1,96</w:t>
            </w:r>
          </w:p>
        </w:tc>
        <w:tc>
          <w:tcPr>
            <w:tcW w:w="19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426D83" w:rsidRPr="00426D83" w:rsidTr="00F04140">
        <w:trPr>
          <w:cantSplit/>
          <w:trHeight w:val="570"/>
        </w:trPr>
        <w:tc>
          <w:tcPr>
            <w:tcW w:w="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</w:pPr>
          </w:p>
        </w:tc>
        <w:tc>
          <w:tcPr>
            <w:tcW w:w="21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КГМ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D83">
              <w:t>на 1-ого жителя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0,28</w:t>
            </w:r>
          </w:p>
        </w:tc>
        <w:tc>
          <w:tcPr>
            <w:tcW w:w="19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426D83" w:rsidRPr="00426D83" w:rsidTr="00F04140">
        <w:trPr>
          <w:cantSplit/>
          <w:trHeight w:val="285"/>
        </w:trPr>
        <w:tc>
          <w:tcPr>
            <w:tcW w:w="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</w:pPr>
            <w:r w:rsidRPr="00426D83">
              <w:t>1.2.</w:t>
            </w:r>
          </w:p>
        </w:tc>
        <w:tc>
          <w:tcPr>
            <w:tcW w:w="21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Частный сектор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ТБО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D83">
              <w:t>на 1-ого жителя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2,30</w:t>
            </w:r>
          </w:p>
        </w:tc>
        <w:tc>
          <w:tcPr>
            <w:tcW w:w="19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426D83" w:rsidRPr="00426D83" w:rsidTr="00F04140">
        <w:trPr>
          <w:cantSplit/>
          <w:trHeight w:val="284"/>
        </w:trPr>
        <w:tc>
          <w:tcPr>
            <w:tcW w:w="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</w:pPr>
          </w:p>
        </w:tc>
        <w:tc>
          <w:tcPr>
            <w:tcW w:w="21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autoSpaceDE w:val="0"/>
              <w:autoSpaceDN w:val="0"/>
              <w:adjustRightInd w:val="0"/>
              <w:jc w:val="center"/>
            </w:pPr>
            <w:r w:rsidRPr="00426D83">
              <w:t>КГМ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D83">
              <w:t>на 1-ого жителя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6D83">
              <w:t>0,29</w:t>
            </w:r>
          </w:p>
        </w:tc>
        <w:tc>
          <w:tcPr>
            <w:tcW w:w="19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83" w:rsidRPr="00426D83" w:rsidRDefault="00426D83" w:rsidP="00426D8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</w:tbl>
    <w:p w:rsidR="00426D83" w:rsidRPr="00426D83" w:rsidRDefault="00426D83" w:rsidP="00426D83">
      <w:pPr>
        <w:autoSpaceDE w:val="0"/>
        <w:autoSpaceDN w:val="0"/>
        <w:adjustRightInd w:val="0"/>
      </w:pPr>
    </w:p>
    <w:p w:rsidR="00426D83" w:rsidRPr="00426D83" w:rsidRDefault="00426D83" w:rsidP="00426D8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26D83">
        <w:rPr>
          <w:sz w:val="28"/>
          <w:szCs w:val="28"/>
        </w:rPr>
        <w:t>_______________________________</w:t>
      </w:r>
    </w:p>
    <w:p w:rsidR="00426D83" w:rsidRPr="00426D83" w:rsidRDefault="00426D83" w:rsidP="00426D83">
      <w:pPr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426D83" w:rsidRPr="00426D83" w:rsidRDefault="00426D83" w:rsidP="00426D83">
      <w:pPr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426D83" w:rsidRDefault="00426D83"/>
    <w:sectPr w:rsidR="00426D83" w:rsidSect="00426D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83"/>
    <w:rsid w:val="00426D83"/>
    <w:rsid w:val="007863C5"/>
    <w:rsid w:val="00B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BB431D806EEC7235871571AB46A9266F4BAA42F27D55195B5A33E70725AEE58DBF7FFDC918F2EBS3l7K" TargetMode="External"/><Relationship Id="rId5" Type="http://schemas.openxmlformats.org/officeDocument/2006/relationships/hyperlink" Target="consultantplus://offline/ref=2BBB431D806EEC7235871571AB46A9266F4BA84CF57D55195B5A33E707S2l5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2</cp:revision>
  <dcterms:created xsi:type="dcterms:W3CDTF">2014-04-16T11:20:00Z</dcterms:created>
  <dcterms:modified xsi:type="dcterms:W3CDTF">2014-04-22T13:10:00Z</dcterms:modified>
</cp:coreProperties>
</file>