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«23»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23.03.2023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№2: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 xml:space="preserve"> кадастровым номером 71:05:050601:376, площадью 3578 кв.м, с разрешенным использованием – объекты дорожного сервиса, местоположение: Тульская область, Веневский район, муниципальное образование Грицовское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 - 370 000 (Триста семьдесят тысяч)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В соответствии с Протоколом рассмотрения заявок от 22.03.2023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участниками аукциона признаны: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Украинцев Владимир Анатольевич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Украинцева Маргарита  Андреевна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Дубинец Александр Юрьевич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Звонцов Виктор Сергеевич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Корнеев Алексей Александрович, действующий на основании доверенности в интересах ООО «Топ фудс ЛТД»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Стрельникова Елена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Дятлов Роман Сергеевич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Мануковский Евгений Юрьевич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Жиляков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Богданова Ольга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-Поздняков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-Гильфанов Игорь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Новикова Татьяна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Шкурина Ирина Анатольевна</w:t>
      </w:r>
    </w:p>
    <w:p>
      <w:pPr>
        <w:pStyle w:val="Normal"/>
        <w:shd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-Леженин Михаил Викторович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10101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Родионова Светлана Федоровна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ИП Тихонов Сергей Владимирович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ООО «Атлас» в лице директора  Кирносова  Дмитрия  Александровича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/>
          <w:color w:val="010101"/>
          <w:sz w:val="24"/>
          <w:szCs w:val="24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157"/>
        <w:gridCol w:w="3971"/>
        <w:gridCol w:w="2030"/>
        <w:gridCol w:w="1157"/>
      </w:tblGrid>
      <w:tr>
        <w:trPr/>
        <w:tc>
          <w:tcPr>
            <w:tcW w:w="2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9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290" w:hRule="atLeast"/>
        </w:trPr>
        <w:tc>
          <w:tcPr>
            <w:tcW w:w="2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Дмитренко Максим Александрович, действующий на основании доверенности от имени Родионовой Светланы Федоровны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Жиляков Сергей Александрович</w:t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Ярославцев Андрей Николаевич,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действующий на основании доверенности от имени Леженина Михаила Викторовича</w:t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eastAsia="Times New Roman" w:cs="Times New Roman"/>
                <w:b w:val="false"/>
                <w:b w:val="false"/>
                <w:bCs w:val="false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Гильфанов Игорь Игоревич</w:t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 xml:space="preserve">ООО «Топ фудс ЛТД»,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 xml:space="preserve">в лице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Корнее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ва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 xml:space="preserve"> Алексе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я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 xml:space="preserve"> Александрович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, действующ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его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 xml:space="preserve"> на основании доверенности </w:t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Новиков Дмитрий Александрович,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действующий на основании доверенности от имени Новиковой Татьяны Васильевны</w:t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Дубинец Александр Юрьевич</w:t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color w:val="01010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Предпоследнее предложение о ежегодном размере арендной платы за земельный участок составляющее -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481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000  (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Четыреста восемьдесят одна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тысяч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) рублей 00 копеек, поступило от участника аукциона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Новикова Дмитрия Александровича,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зарегистрированного по адресу: г. Воронеж, ул. Камская,  д. 22, д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ействующего на основании доверенности от имени Новиковой Татьяны Васильевны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, зарегистрированно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й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по адресу: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г. Воронеж, ул. Камская,  д. 22.</w:t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0"/>
        <w:ind w:left="0" w:right="0"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Последнее предложение о ежегодном размере арендной платы за земельный участок составляющее  -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492 10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0 (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Четыреста девяносто две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тысяч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сто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) рублей 00 копеек, поступило от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ООО «Топ фудс ЛТД»,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ОГРН 1067760245233, ИНН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7728602250,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юридический адрес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г. Москва, пр-д. Одоевского, д.3, корп.7, этаж 1, помещение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val="en-US" w:eastAsia="ru-RU"/>
        </w:rPr>
        <w:t xml:space="preserve"> II,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val="ru-RU" w:eastAsia="ru-RU"/>
        </w:rPr>
        <w:t xml:space="preserve">ОФИС 13, в лице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Корнеев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Алексе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Александрович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зарегистрированного по адресу:                       г. Москва, ул. Академика Варги, д.28, кв.2,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действующ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его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на основании доверенности.</w:t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В соответствии с п. 17 ст. 39.12 Земельного кодекса Российской Федерации, победителем аукциона признан</w:t>
      </w: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о</w:t>
      </w: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 xml:space="preserve"> –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ООО «Топ фудс ЛТД»,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ОГРН 1067760245233,           ИНН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7728602250,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юридический адрес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г. Москва, пр-д. Одоевского, д.3, корп.7, этаж 1, помещение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val="en-US" w:eastAsia="ru-RU"/>
        </w:rPr>
        <w:t xml:space="preserve"> II,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val="ru-RU" w:eastAsia="ru-RU"/>
        </w:rPr>
        <w:t xml:space="preserve">ОФИС 13, в лице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Корнеев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Алексе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я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Александрович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а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зарегистрированного по адресу: г. Москва, ул. Академика Варги, д.28, кв.2,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действующ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его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на основании доверенности</w:t>
      </w: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, предложивш</w:t>
      </w: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его</w:t>
      </w: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 xml:space="preserve"> наибольший ежегодный размер арендной платы за земельный участок, составляющий -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492 10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0 (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Четыреста девяносто две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тысяч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и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сто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_________________         </w:t>
      </w:r>
      <w:r>
        <w:rPr>
          <w:rFonts w:cs="Times New Roman" w:ascii="Times New Roman" w:hAnsi="Times New Roman"/>
          <w:sz w:val="24"/>
          <w:szCs w:val="24"/>
        </w:rPr>
        <w:t xml:space="preserve">Корнеев А.А.,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действующий на основании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доверенности от ООО «Топ фудс ЛТД»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sectPr>
      <w:type w:val="nextPage"/>
      <w:pgSz w:w="11906" w:h="16838"/>
      <w:pgMar w:left="1701" w:right="851" w:gutter="0" w:header="0" w:top="971" w:footer="0" w:bottom="113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Application>LibreOffice/7.4.5.1$Windows_X86_64 LibreOffice_project/9c0871452b3918c1019dde9bfac75448afc4b57f</Application>
  <AppVersion>15.0000</AppVersion>
  <Pages>3</Pages>
  <Words>586</Words>
  <Characters>4042</Characters>
  <CharactersWithSpaces>5368</CharactersWithSpaces>
  <Paragraphs>80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2023-03-23T12:23:37Z</cp:lastPrinted>
  <dcterms:modified xsi:type="dcterms:W3CDTF">2023-03-23T12:20:08Z</dcterms:modified>
  <cp:revision>603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