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№160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71:05:010101:477, площадью 630 036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ведения сельскохозяйственного производства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Тульская область,  Веневский район, 950м севернее д. Тураево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5)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чле</w:t>
      </w:r>
      <w:r>
        <w:rPr>
          <w:rFonts w:eastAsia="Times New Roman" w:cs="Times New Roman" w:ascii="Times New Roman" w:hAnsi="Times New Roman"/>
          <w:sz w:val="24"/>
          <w:szCs w:val="24"/>
        </w:rPr>
        <w:t>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21.03.2023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11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одиннадцать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 заявок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tbl>
      <w:tblPr>
        <w:tblStyle w:val="a8"/>
        <w:tblW w:w="9700" w:type="dxa"/>
        <w:jc w:val="left"/>
        <w:tblInd w:w="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37"/>
        <w:gridCol w:w="2271"/>
        <w:gridCol w:w="1415"/>
        <w:gridCol w:w="1428"/>
        <w:gridCol w:w="2549"/>
      </w:tblGrid>
      <w:tr>
        <w:trPr>
          <w:trHeight w:val="1814" w:hRule="atLeast"/>
        </w:trPr>
        <w:tc>
          <w:tcPr>
            <w:tcW w:w="20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831" w:hRule="atLeast"/>
        </w:trPr>
        <w:tc>
          <w:tcPr>
            <w:tcW w:w="20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1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«Пром Продукт» в лице генерального директора Бойко Евгения Александровича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20.02.2023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20.02.2023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Московская область, Г.О.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Советская, д.1, офис 302</w:t>
            </w:r>
          </w:p>
        </w:tc>
      </w:tr>
      <w:tr>
        <w:trPr>
          <w:trHeight w:val="1072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13.03.2023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ул. Лукинская,  д.16, кв.267</w:t>
            </w:r>
          </w:p>
        </w:tc>
      </w:tr>
      <w:tr>
        <w:trPr>
          <w:trHeight w:val="1682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13.03.2023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Краснодар,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Российская, д.72/5, кв.158</w:t>
            </w:r>
          </w:p>
        </w:tc>
      </w:tr>
      <w:tr>
        <w:trPr>
          <w:trHeight w:val="118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166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166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99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Персиковая,  д. 18</w:t>
            </w:r>
          </w:p>
        </w:tc>
      </w:tr>
      <w:tr>
        <w:trPr>
          <w:trHeight w:val="99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>
        <w:trPr>
          <w:trHeight w:val="99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99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27600,00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993" w:hRule="atLeast"/>
        </w:trPr>
        <w:tc>
          <w:tcPr>
            <w:tcW w:w="203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Родионова Светлана Федоровна </w:t>
            </w: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2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27800,00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21.03.2023</w:t>
            </w:r>
          </w:p>
        </w:tc>
        <w:tc>
          <w:tcPr>
            <w:tcW w:w="2549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Коминтерновский район, б-р Победы, д.39. кв. 126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ых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 претендент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ов: АО «Пром Продукт» в лице генерального директора Бойко Е.А., Дубинец А.Ю., Звонцова В.С.,  Гильфанова                       Д. И., Стрельниковой Е.В., Позднякова Д. И., Гильфанова И.И., Титова С. А., Куликова В.В.,Родионовой С.Ф. 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на счет организатор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 торгов поступили.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От заявителя Леженина М.В  (заявка за №10) задаток поступил в сумме — 27 600 руб., по условиям аукциона задаток составляет 27 800 руб., на основании вышеизложенного           Леженин М.В. не допускается к участию в аукционе  23.03.2023.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аявк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и остальных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 претендент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ю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 к аукциону, указанные в                    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«Пром Продукт» в лице генерального директора Бойко Евгения Александровича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</w:tr>
      <w:tr>
        <w:trPr>
          <w:trHeight w:val="254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>
          <w:trHeight w:val="472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допущен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Родионова Светлана Федоровна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729" w:footer="0" w:bottom="6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Application>LibreOffice/7.4.5.1$Windows_X86_64 LibreOffice_project/9c0871452b3918c1019dde9bfac75448afc4b57f</Application>
  <AppVersion>15.0000</AppVersion>
  <Pages>3</Pages>
  <Words>728</Words>
  <Characters>4936</Characters>
  <CharactersWithSpaces>5753</CharactersWithSpaces>
  <Paragraphs>139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2023-03-22T10:42:22Z</cp:lastPrinted>
  <dcterms:modified xsi:type="dcterms:W3CDTF">2023-03-22T10:42:06Z</dcterms:modified>
  <cp:revision>283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