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г. Венев         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24.03.2023г.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27.03.2023г.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>
          <w:color w:val="000000"/>
        </w:rPr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аренды земельного участка, открытый по составу участников и по форме подачи предложений о цене земельного участка.</w:t>
      </w:r>
      <w:bookmarkStart w:id="0" w:name="_GoBack"/>
      <w:bookmarkEnd w:id="0"/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Мордвесское Веневского района от  13.02.2023 №24 «О проведении аукциона по продаже права на заключение договоров аренды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аренды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71:05:010701:384, площадью 305 193 кв.м, с разрешенным использованием –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для сельскохозяйственного производства</w:t>
      </w:r>
      <w:r>
        <w:rPr>
          <w:rFonts w:eastAsia="Calibri" w:cs="Times New Roman" w:ascii="Times New Roman" w:hAnsi="Times New Roman"/>
          <w:sz w:val="24"/>
          <w:szCs w:val="24"/>
        </w:rPr>
        <w:t>, местоположение: Тульская область, Веневский район, западнее д. Игумново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(лот 5)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договоров аренды земельных участков в составе 5 человек. Заседание проводится в присутствии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5 ч</w:t>
      </w:r>
      <w:r>
        <w:rPr>
          <w:rFonts w:eastAsia="Times New Roman" w:cs="Times New Roman" w:ascii="Times New Roman" w:hAnsi="Times New Roman"/>
          <w:sz w:val="24"/>
          <w:szCs w:val="24"/>
        </w:rPr>
        <w:t>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Комиссия провела процедуру рассмотрения заявок на участие в аукционе в 11 час. 00 мин. 27.03.2023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До окончания срока подачи заявок на участие в аукционе, т.е. до 17 час. 00 мин. (время местное) 22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.03.2023 было представлено 8 (восемь) заявок на уч</w:t>
      </w:r>
      <w:r>
        <w:rPr>
          <w:rFonts w:eastAsia="Times New Roman" w:cs="Times New Roman" w:ascii="Times New Roman" w:hAnsi="Times New Roman"/>
          <w:sz w:val="24"/>
          <w:szCs w:val="24"/>
        </w:rPr>
        <w:t>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0"/>
        <w:gridCol w:w="2273"/>
        <w:gridCol w:w="1425"/>
        <w:gridCol w:w="1418"/>
        <w:gridCol w:w="2551"/>
      </w:tblGrid>
      <w:tr>
        <w:trPr/>
        <w:tc>
          <w:tcPr>
            <w:tcW w:w="2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7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431" w:hRule="atLeast"/>
        </w:trPr>
        <w:tc>
          <w:tcPr>
            <w:tcW w:w="2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7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ИП Глава КФХ Сметанкин Евгений Викторович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02.03.2023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10 656,00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02.03.2023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>Тульская область, Веневский район,              с. Козловка,                       ул. Липовая, д.14А</w:t>
            </w:r>
          </w:p>
        </w:tc>
      </w:tr>
      <w:tr>
        <w:trPr>
          <w:trHeight w:val="1186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ИП Глава КФХ Багрянцев Петр Павлович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22.03.2023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10 656,00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22.03.2023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>Тульская область,  Щекинский район,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д. Краснополье, д.4,</w:t>
            </w:r>
          </w:p>
        </w:tc>
      </w:tr>
      <w:tr>
        <w:trPr>
          <w:trHeight w:val="1129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Стрельникова Елена Васильевна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22.03.2023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10 656,00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21.03.2023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Красных Зорь, д.38, кв.134</w:t>
            </w:r>
          </w:p>
        </w:tc>
      </w:tr>
      <w:tr>
        <w:trPr>
          <w:trHeight w:val="1200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Дмитрий Игоревич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22.03.2023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10 656,00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21.03.2023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  г. Воронеж,  Советский район,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пр-кт Патриотов, д.22, кв.57</w:t>
            </w:r>
          </w:p>
        </w:tc>
      </w:tr>
      <w:tr>
        <w:trPr>
          <w:trHeight w:val="785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Дмитренко Максим Александрович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22.03.2023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10 656,00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22.03.2023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пр-кт Московский, д.111, кв.52</w:t>
            </w:r>
          </w:p>
        </w:tc>
      </w:tr>
      <w:tr>
        <w:trPr>
          <w:trHeight w:val="1086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Леженин Михаил Викторович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22.03.2023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10 656,00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22.03.2023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3 Интернационала, д.55</w:t>
            </w:r>
          </w:p>
        </w:tc>
      </w:tr>
      <w:tr>
        <w:trPr>
          <w:trHeight w:val="1243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7.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Куликов Валентин Валентинович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22.03.2023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10 656,00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22.03.2023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Генерала Лизюкова,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д.93А, кв.6</w:t>
            </w:r>
          </w:p>
        </w:tc>
      </w:tr>
      <w:tr>
        <w:trPr>
          <w:trHeight w:val="1137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8.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Титов Сергей Александрович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22.03.2023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10 656,00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22.03.2023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 пер. Автогенный, д.13, кв.3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аренды земельных участков решила: допустить к участию в аукционе 27.03.2023 в 11-00 часов 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признать участниками аукциона претендентов, подавших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>
          <w:trHeight w:val="435" w:hRule="atLeast"/>
        </w:trPr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ИП Глава КФХ Сметанкин Евгений Викторович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ИП Глава КФХ Багрянцев Петр Павлович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Стрельникова Елена Васильевна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Дмитрий Игоревич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Дмитренко Максим Александрович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Леженин Михаил Викторович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7.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Куликов Валентин Валентинович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8.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Титов Сергей Александрович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D5AE6-CE15-4879-9132-508FF16AA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Application>LibreOffice/7.4.5.1$Windows_X86_64 LibreOffice_project/9c0871452b3918c1019dde9bfac75448afc4b57f</Application>
  <AppVersion>15.0000</AppVersion>
  <Pages>3</Pages>
  <Words>603</Words>
  <Characters>4075</Characters>
  <CharactersWithSpaces>4778</CharactersWithSpaces>
  <Paragraphs>106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2023-03-24T14:11:13Z</cp:lastPrinted>
  <dcterms:modified xsi:type="dcterms:W3CDTF">2023-03-23T17:40:44Z</dcterms:modified>
  <cp:revision>282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