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Информируем Вас о проведении обучающего вебинара.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Специалисты Ресурсного центра правительства Тульской области совместно с Ассоциацией «Юристы за гражданское общество» организовали проведение очередного обучающего вебинара для некоммерческих организаций региона.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Тема вебинара "Налогообложение и налоговые льготы НКО".  Вебинар пройдет 6 декабря в 10:00.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На встрече обсудим: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Системы налогообложения, которые могут применять НКО.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Налоги и взносы с выплат физическим лицам и льготы, предусмотренные для НКО.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Основные виды доходов НКО, освобожденные от налогообложения.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❗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Льготы для жертвователей НКО.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Ведущая вебинара: Екатерина Васютина - юрист, член Ассоциации «Юристы за гражданское общество».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Вебинар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Встреча будет проходит на платформе Ассоциации «Юристы за гражданское общество».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Ссылка для регистрации: </w:t>
      </w:r>
      <w:hyperlink r:id="rId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https://events.lawcs.ru/webinar_06122022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Регистрация будет доступна до 9:00 6 декабря 2022 г.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По завершению регистрации всем участникам будет направлена ссылка на подключение.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Ждем на вебинаре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vents.lawcs.ru/webinar_061220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LibreOffice/7.1.1.2$Windows_X86_64 LibreOffice_project/fe0b08f4af1bacafe4c7ecc87ce55bb426164676</Application>
  <AppVersion>15.0000</AppVersion>
  <Pages>1</Pages>
  <Words>137</Words>
  <Characters>1014</Characters>
  <CharactersWithSpaces>1137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2022-12-02T13:42:04Z</dcterms:created>
  <dc:creator/>
  <dc:description/>
  <dc:language>ru-RU</dc:language>
  <cp:lastModifiedBy/>
  <dcterms:modified xsi:type="dcterms:W3CDTF">2022-12-02T13:48:19Z</dcterms:modified>
  <cp:revision>1</cp:revision>
  <dc:subject/>
  <dc:title/>
</cp:coreProperties>
</file>