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Times New Roman" w:hAnsi="Times New Roman"/>
          <w:b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Административная ответст</w:t>
      </w:r>
      <w:r>
        <w:rPr>
          <w:rFonts w:ascii="Times New Roman" w:hAnsi="Times New Roman"/>
          <w:b/>
          <w:bCs/>
          <w:sz w:val="32"/>
          <w:szCs w:val="32"/>
        </w:rPr>
        <w:t>венность</w:t>
      </w:r>
    </w:p>
    <w:p>
      <w:pPr>
        <w:pStyle w:val="Normal"/>
        <w:jc w:val="center"/>
        <w:rPr>
          <w:rFonts w:ascii="Times New Roman" w:hAnsi="Times New Roman"/>
          <w:b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за нарушение</w:t>
      </w:r>
    </w:p>
    <w:p>
      <w:pPr>
        <w:pStyle w:val="Normal"/>
        <w:jc w:val="center"/>
        <w:rPr>
          <w:rFonts w:ascii="Times New Roman" w:hAnsi="Times New Roman"/>
          <w:b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Правил благоустройства</w:t>
      </w:r>
    </w:p>
    <w:p>
      <w:pPr>
        <w:pStyle w:val="Normal"/>
        <w:jc w:val="center"/>
        <w:rPr>
          <w:rFonts w:ascii="Times New Roman" w:hAnsi="Times New Roman"/>
          <w:b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</w:r>
    </w:p>
    <w:p>
      <w:pPr>
        <w:pStyle w:val="Normal"/>
        <w:ind w:left="0" w:right="0" w:firstLine="567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>Законом Тульской области от 09.06.2003 №388-ЗТО «Об административных право</w:t>
      </w:r>
      <w:r>
        <w:rPr>
          <w:rFonts w:ascii="Times New Roman" w:hAnsi="Times New Roman"/>
          <w:b w:val="false"/>
          <w:bCs w:val="false"/>
          <w:sz w:val="28"/>
          <w:szCs w:val="28"/>
        </w:rPr>
        <w:t>нарушения</w:t>
      </w: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» </w:t>
      </w:r>
      <w:r>
        <w:rPr>
          <w:rFonts w:ascii="Times New Roman" w:hAnsi="Times New Roman"/>
          <w:b w:val="false"/>
          <w:bCs w:val="false"/>
          <w:sz w:val="28"/>
          <w:szCs w:val="28"/>
        </w:rPr>
        <w:t>установлена административная ответственность за нарушение Правил благоустройства территории муниципального образования.</w:t>
      </w:r>
    </w:p>
    <w:p>
      <w:pPr>
        <w:pStyle w:val="3"/>
        <w:ind w:left="0" w:right="0" w:firstLine="567"/>
        <w:jc w:val="center"/>
        <w:rPr/>
      </w:pPr>
      <w:bookmarkStart w:id="0" w:name="P015D"/>
      <w:bookmarkStart w:id="1" w:name="P015E"/>
      <w:bookmarkEnd w:id="0"/>
      <w:bookmarkEnd w:id="1"/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43916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;sans-serif" w:hAnsi="Arial;sans-serif"/>
          <w:b/>
          <w:bCs w:val="false"/>
          <w:i w:val="false"/>
          <w:caps w:val="false"/>
          <w:smallCaps w:val="false"/>
          <w:color w:val="444444"/>
          <w:spacing w:val="0"/>
          <w:sz w:val="24"/>
          <w:szCs w:val="28"/>
        </w:rPr>
        <w:br/>
        <w:t>Статья 8.11-2. Нарушение правил благоустройства</w:t>
      </w:r>
    </w:p>
    <w:p>
      <w:pPr>
        <w:pStyle w:val="Style15"/>
        <w:widowControl/>
        <w:pBdr/>
        <w:shd w:fill="FFFFFF" w:val="clear"/>
        <w:spacing w:before="0" w:after="0"/>
        <w:ind w:left="0" w:right="0" w:hanging="0"/>
        <w:jc w:val="center"/>
        <w:rPr/>
      </w:pPr>
      <w:bookmarkStart w:id="2" w:name="P015E_1"/>
      <w:bookmarkEnd w:id="2"/>
      <w:r>
        <w:rPr>
          <w:rFonts w:ascii="Arial;sans-serif" w:hAnsi="Arial;sans-serif"/>
          <w:b w:val="false"/>
          <w:i w:val="false"/>
          <w:caps w:val="false"/>
          <w:smallCaps w:val="false"/>
          <w:color w:val="444444"/>
          <w:spacing w:val="0"/>
          <w:sz w:val="24"/>
        </w:rPr>
        <w:t>(введена </w:t>
      </w:r>
      <w:hyperlink r:id="rId3">
        <w:r>
          <w:rPr>
            <w:rStyle w:val="Style13"/>
            <w:rFonts w:ascii="Arial;sans-serif" w:hAnsi="Arial;sans-serif"/>
            <w:b w:val="false"/>
            <w:i w:val="false"/>
            <w:caps w:val="false"/>
            <w:smallCaps w:val="false"/>
            <w:color w:val="3451A0"/>
            <w:spacing w:val="0"/>
            <w:sz w:val="24"/>
            <w:u w:val="single"/>
          </w:rPr>
          <w:t>Законом Тульской области от 26.10.2017 N 76-ЗТО</w:t>
        </w:r>
      </w:hyperlink>
      <w:bookmarkStart w:id="3" w:name="P015F"/>
      <w:bookmarkEnd w:id="3"/>
      <w:r>
        <w:rPr>
          <w:rFonts w:ascii="Arial;sans-serif" w:hAnsi="Arial;sans-serif"/>
          <w:b w:val="false"/>
          <w:i w:val="false"/>
          <w:caps w:val="false"/>
          <w:smallCaps w:val="false"/>
          <w:color w:val="444444"/>
          <w:spacing w:val="0"/>
          <w:sz w:val="24"/>
        </w:rPr>
        <w:t>)</w:t>
      </w:r>
    </w:p>
    <w:p>
      <w:pPr>
        <w:pStyle w:val="Style15"/>
        <w:widowControl/>
        <w:pBdr/>
        <w:shd w:fill="FFFFFF" w:val="clear"/>
        <w:spacing w:before="0" w:after="0"/>
        <w:ind w:left="0" w:right="0" w:hanging="0"/>
        <w:jc w:val="both"/>
        <w:rPr/>
      </w:pPr>
      <w:bookmarkStart w:id="4" w:name="P015F_1"/>
      <w:bookmarkEnd w:id="4"/>
      <w:r>
        <w:rPr>
          <w:rFonts w:ascii="Arial;sans-serif" w:hAnsi="Arial;sans-serif"/>
          <w:b w:val="false"/>
          <w:i w:val="false"/>
          <w:caps w:val="false"/>
          <w:smallCaps w:val="false"/>
          <w:color w:val="444444"/>
          <w:spacing w:val="0"/>
          <w:sz w:val="24"/>
        </w:rPr>
        <w:t>Нарушение утвержденных органами местного самоуправления правил благоустройства территорий поселений (городских округов), а также необеспечение собственниками, владельцами, арендаторами благоустройства принадлежащих (арендованных) им (ими) объектов в соответствии с требованиями правил благоустройства, утвержденных нормативными правовыми актами органов местного самоуправления, если эти действия (бездействие) не подпадают под действие </w:t>
      </w:r>
      <w:hyperlink r:id="rId4">
        <w:r>
          <w:rPr>
            <w:rStyle w:val="Style13"/>
            <w:rFonts w:ascii="Arial;sans-serif" w:hAnsi="Arial;sans-serif"/>
            <w:b w:val="false"/>
            <w:i w:val="false"/>
            <w:caps w:val="false"/>
            <w:smallCaps w:val="false"/>
            <w:color w:val="3451A0"/>
            <w:spacing w:val="0"/>
            <w:sz w:val="24"/>
            <w:u w:val="single"/>
          </w:rPr>
          <w:t>Кодекса Российской Федерации об административных правонарушениях</w:t>
        </w:r>
      </w:hyperlink>
      <w:bookmarkStart w:id="5" w:name="P0160"/>
      <w:bookmarkEnd w:id="5"/>
      <w:r>
        <w:rPr>
          <w:rFonts w:ascii="Arial;sans-serif" w:hAnsi="Arial;sans-serif"/>
          <w:b w:val="false"/>
          <w:i w:val="false"/>
          <w:caps w:val="false"/>
          <w:smallCaps w:val="false"/>
          <w:color w:val="444444"/>
          <w:spacing w:val="0"/>
          <w:sz w:val="24"/>
        </w:rPr>
        <w:t>,</w:t>
      </w:r>
    </w:p>
    <w:p>
      <w:pPr>
        <w:pStyle w:val="Style15"/>
        <w:widowControl/>
        <w:pBdr/>
        <w:shd w:fill="FFFFFF" w:val="clear"/>
        <w:spacing w:before="0" w:after="0"/>
        <w:ind w:left="0" w:right="0" w:hanging="0"/>
        <w:jc w:val="both"/>
        <w:rPr>
          <w:rFonts w:ascii="Arial;sans-serif" w:hAnsi="Arial;sans-serif"/>
          <w:b w:val="false"/>
          <w:i/>
          <w:i/>
          <w:iCs/>
          <w:caps w:val="false"/>
          <w:smallCaps w:val="false"/>
          <w:color w:val="444444"/>
          <w:spacing w:val="0"/>
          <w:sz w:val="24"/>
        </w:rPr>
      </w:pPr>
      <w:bookmarkStart w:id="6" w:name="P0160_1"/>
      <w:bookmarkEnd w:id="6"/>
      <w:r>
        <w:rPr>
          <w:rFonts w:ascii="Arial;sans-serif" w:hAnsi="Arial;sans-serif"/>
          <w:b w:val="false"/>
          <w:i/>
          <w:iCs/>
          <w:caps w:val="false"/>
          <w:smallCaps w:val="false"/>
          <w:color w:val="444444"/>
          <w:spacing w:val="0"/>
          <w:sz w:val="24"/>
        </w:rPr>
        <w:t>- влечет наложение административного штрафа</w:t>
      </w:r>
    </w:p>
    <w:p>
      <w:pPr>
        <w:pStyle w:val="Style15"/>
        <w:widowControl/>
        <w:pBdr/>
        <w:shd w:fill="FFFFFF" w:val="clear"/>
        <w:spacing w:before="0" w:after="0"/>
        <w:ind w:left="0" w:right="0" w:hanging="0"/>
        <w:jc w:val="both"/>
        <w:rPr>
          <w:rFonts w:ascii="Arial;sans-serif" w:hAnsi="Arial;sans-serif"/>
          <w:b w:val="false"/>
          <w:i/>
          <w:i/>
          <w:iCs/>
          <w:caps w:val="false"/>
          <w:smallCaps w:val="false"/>
          <w:color w:val="444444"/>
          <w:spacing w:val="0"/>
          <w:sz w:val="24"/>
        </w:rPr>
      </w:pPr>
      <w:r>
        <w:rPr>
          <w:rFonts w:ascii="Arial;sans-serif" w:hAnsi="Arial;sans-serif"/>
          <w:b w:val="false"/>
          <w:i/>
          <w:iCs/>
          <w:caps w:val="false"/>
          <w:smallCaps w:val="false"/>
          <w:color w:val="444444"/>
          <w:spacing w:val="0"/>
          <w:sz w:val="24"/>
        </w:rPr>
        <w:t>на граждан в размере от двух тысяч пятисот до пяти тысяч рублей;</w:t>
      </w:r>
    </w:p>
    <w:p>
      <w:pPr>
        <w:pStyle w:val="Style15"/>
        <w:widowControl/>
        <w:pBdr/>
        <w:shd w:fill="FFFFFF" w:val="clear"/>
        <w:spacing w:before="0" w:after="0"/>
        <w:ind w:left="0" w:right="0" w:hanging="0"/>
        <w:jc w:val="both"/>
        <w:rPr>
          <w:rFonts w:ascii="Arial;sans-serif" w:hAnsi="Arial;sans-serif"/>
          <w:b w:val="false"/>
          <w:i/>
          <w:i/>
          <w:iCs/>
          <w:caps w:val="false"/>
          <w:smallCaps w:val="false"/>
          <w:color w:val="444444"/>
          <w:spacing w:val="0"/>
          <w:sz w:val="24"/>
        </w:rPr>
      </w:pPr>
      <w:r>
        <w:rPr>
          <w:rFonts w:ascii="Arial;sans-serif" w:hAnsi="Arial;sans-serif"/>
          <w:b w:val="false"/>
          <w:i/>
          <w:iCs/>
          <w:caps w:val="false"/>
          <w:smallCaps w:val="false"/>
          <w:color w:val="444444"/>
          <w:spacing w:val="0"/>
          <w:sz w:val="24"/>
        </w:rPr>
        <w:t xml:space="preserve">на должностных лиц - от двадцати тысяч до пятидесяти тысяч рублей; </w:t>
      </w:r>
    </w:p>
    <w:p>
      <w:pPr>
        <w:pStyle w:val="Style15"/>
        <w:widowControl/>
        <w:pBdr/>
        <w:shd w:fill="FFFFFF" w:val="clear"/>
        <w:spacing w:before="0" w:after="0"/>
        <w:ind w:left="0" w:right="0" w:hanging="0"/>
        <w:jc w:val="both"/>
        <w:rPr>
          <w:rFonts w:ascii="Arial;sans-serif" w:hAnsi="Arial;sans-serif"/>
          <w:b w:val="false"/>
          <w:i/>
          <w:i/>
          <w:iCs/>
          <w:caps w:val="false"/>
          <w:smallCaps w:val="false"/>
          <w:color w:val="444444"/>
          <w:spacing w:val="0"/>
          <w:sz w:val="24"/>
        </w:rPr>
      </w:pPr>
      <w:r>
        <w:rPr>
          <w:rFonts w:ascii="Arial;sans-serif" w:hAnsi="Arial;sans-serif"/>
          <w:b w:val="false"/>
          <w:i/>
          <w:iCs/>
          <w:caps w:val="false"/>
          <w:smallCaps w:val="false"/>
          <w:color w:val="444444"/>
          <w:spacing w:val="0"/>
          <w:sz w:val="24"/>
        </w:rPr>
        <w:t>на юридических лиц - от двухсот тысяч до четырехсот пятидесяти тысяч рублей.</w:t>
      </w:r>
    </w:p>
    <w:p>
      <w:pPr>
        <w:pStyle w:val="Normal"/>
        <w:ind w:left="0" w:right="0" w:firstLine="567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</w:r>
    </w:p>
    <w:p>
      <w:pPr>
        <w:pStyle w:val="Normal"/>
        <w:ind w:left="0" w:right="0" w:firstLine="567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</w:r>
    </w:p>
    <w:p>
      <w:pPr>
        <w:pStyle w:val="Normal"/>
        <w:ind w:left="0" w:right="0" w:firstLine="567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</w:r>
    </w:p>
    <w:p>
      <w:pPr>
        <w:pStyle w:val="Normal"/>
        <w:ind w:left="0" w:right="0" w:firstLine="567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</w:r>
    </w:p>
    <w:p>
      <w:pPr>
        <w:pStyle w:val="Normal"/>
        <w:ind w:left="0" w:right="0" w:firstLine="567"/>
        <w:jc w:val="center"/>
        <w:rPr>
          <w:rFonts w:ascii="Times New Roman" w:hAnsi="Times New Roman"/>
          <w:b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Административная ответственность</w:t>
      </w:r>
    </w:p>
    <w:p>
      <w:pPr>
        <w:pStyle w:val="Normal"/>
        <w:ind w:left="0" w:right="0" w:firstLine="567"/>
        <w:jc w:val="center"/>
        <w:rPr>
          <w:rFonts w:ascii="Times New Roman" w:hAnsi="Times New Roman"/>
          <w:b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для владельцев транспортных средств</w:t>
      </w:r>
    </w:p>
    <w:p>
      <w:pPr>
        <w:pStyle w:val="Normal"/>
        <w:ind w:left="0" w:right="0" w:firstLine="567"/>
        <w:jc w:val="center"/>
        <w:rPr>
          <w:rFonts w:ascii="Times New Roman" w:hAnsi="Times New Roman"/>
          <w:b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</w:r>
    </w:p>
    <w:p>
      <w:pPr>
        <w:pStyle w:val="Normal"/>
        <w:ind w:left="0" w:right="0" w:firstLine="567"/>
        <w:jc w:val="both"/>
        <w:rPr>
          <w:rFonts w:ascii="Times New Roman" w:hAnsi="Times New Roman"/>
          <w:b w:val="false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>Законом Тульской области от 09.06.2003 №388-ЗТО «Об административных право</w:t>
      </w:r>
      <w:r>
        <w:rPr>
          <w:rFonts w:ascii="Times New Roman" w:hAnsi="Times New Roman"/>
          <w:b w:val="false"/>
          <w:bCs w:val="false"/>
          <w:sz w:val="28"/>
          <w:szCs w:val="28"/>
        </w:rPr>
        <w:t>нарушения</w:t>
      </w: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» </w:t>
      </w:r>
      <w:r>
        <w:rPr>
          <w:rFonts w:ascii="Times New Roman" w:hAnsi="Times New Roman"/>
          <w:b w:val="false"/>
          <w:bCs w:val="false"/>
          <w:color w:val="010101"/>
          <w:sz w:val="28"/>
          <w:szCs w:val="28"/>
        </w:rPr>
        <w:t>установлена административная ответственность за размещение транспортных средств на озелененных территориях и детских площадках.</w:t>
      </w:r>
    </w:p>
    <w:p>
      <w:pPr>
        <w:pStyle w:val="Normal"/>
        <w:ind w:left="0" w:right="0" w:firstLine="567"/>
        <w:jc w:val="center"/>
        <w:rPr/>
      </w:pPr>
      <w:r>
        <w:rPr>
          <w:rFonts w:ascii="Times New Roman" w:hAnsi="Times New Roman"/>
          <w:b w:val="false"/>
          <w:bCs w:val="false"/>
          <w:color w:val="010101"/>
          <w:sz w:val="28"/>
          <w:szCs w:val="28"/>
        </w:rPr>
        <w:drawing>
          <wp:inline distT="0" distB="0" distL="0" distR="0">
            <wp:extent cx="5715000" cy="4420235"/>
            <wp:effectExtent l="0" t="0" r="0" b="0"/>
            <wp:docPr id="2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0" t="2167" r="0" b="2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2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" w:name="P016B"/>
      <w:bookmarkEnd w:id="7"/>
      <w:r>
        <w:rPr>
          <w:rFonts w:ascii="Arial;sans-serif" w:hAnsi="Arial;sans-serif"/>
          <w:b/>
          <w:bCs w:val="false"/>
          <w:i w:val="false"/>
          <w:caps w:val="false"/>
          <w:smallCaps w:val="false"/>
          <w:color w:val="010101"/>
          <w:spacing w:val="0"/>
          <w:sz w:val="24"/>
          <w:szCs w:val="28"/>
        </w:rPr>
        <w:br/>
      </w:r>
      <w:bookmarkStart w:id="8" w:name="P016C"/>
      <w:bookmarkEnd w:id="8"/>
      <w:r>
        <w:rPr>
          <w:rFonts w:ascii="Times New Roman" w:hAnsi="Times New Roman"/>
          <w:b/>
          <w:bCs w:val="false"/>
          <w:i w:val="false"/>
          <w:caps w:val="false"/>
          <w:smallCaps w:val="false"/>
          <w:color w:val="010101"/>
          <w:spacing w:val="0"/>
          <w:sz w:val="28"/>
          <w:szCs w:val="28"/>
        </w:rPr>
        <w:t>Статья 8.15. Размещение транспортных средств на озелененных территориях и детских площадках</w:t>
      </w:r>
    </w:p>
    <w:p>
      <w:pPr>
        <w:pStyle w:val="Style15"/>
        <w:widowControl/>
        <w:pBdr/>
        <w:shd w:fill="FFFFFF" w:val="clear"/>
        <w:spacing w:before="0" w:after="0"/>
        <w:ind w:left="0" w:right="0" w:hanging="0"/>
        <w:jc w:val="center"/>
        <w:rPr/>
      </w:pPr>
      <w:bookmarkStart w:id="9" w:name="P016C_1"/>
      <w:bookmarkEnd w:id="9"/>
      <w:r>
        <w:rPr>
          <w:rFonts w:ascii="Times New Roman" w:hAnsi="Times New Roman"/>
          <w:b w:val="false"/>
          <w:i w:val="false"/>
          <w:caps w:val="false"/>
          <w:smallCaps w:val="false"/>
          <w:color w:val="444444"/>
          <w:spacing w:val="0"/>
          <w:sz w:val="28"/>
          <w:szCs w:val="28"/>
        </w:rPr>
        <w:t>(введена </w:t>
      </w:r>
      <w:hyperlink r:id="rId6">
        <w:r>
          <w:rPr>
            <w:rStyle w:val="Style13"/>
            <w:rFonts w:ascii="Times New Roman" w:hAnsi="Times New Roman"/>
            <w:b w:val="false"/>
            <w:i w:val="false"/>
            <w:caps w:val="false"/>
            <w:smallCaps w:val="false"/>
            <w:color w:val="3451A0"/>
            <w:spacing w:val="0"/>
            <w:sz w:val="28"/>
            <w:szCs w:val="28"/>
            <w:u w:val="single"/>
          </w:rPr>
          <w:t>Законом Тульской области от 28.11.2019 N 124-ЗТО</w:t>
        </w:r>
      </w:hyperlink>
      <w:r>
        <w:rPr>
          <w:rFonts w:ascii="Times New Roman" w:hAnsi="Times New Roman"/>
          <w:b w:val="false"/>
          <w:i w:val="false"/>
          <w:caps w:val="false"/>
          <w:smallCaps w:val="false"/>
          <w:color w:val="444444"/>
          <w:spacing w:val="0"/>
          <w:sz w:val="28"/>
          <w:szCs w:val="28"/>
        </w:rPr>
        <w:t>)</w:t>
      </w:r>
    </w:p>
    <w:p>
      <w:pPr>
        <w:pStyle w:val="Style15"/>
        <w:widowControl/>
        <w:pBdr/>
        <w:shd w:fill="FFFFFF" w:val="clear"/>
        <w:spacing w:before="0" w:after="0"/>
        <w:ind w:left="0" w:right="0" w:hanging="0"/>
        <w:jc w:val="both"/>
        <w:rPr>
          <w:rFonts w:ascii="Times New Roman" w:hAnsi="Times New Roman"/>
          <w:sz w:val="28"/>
          <w:szCs w:val="28"/>
        </w:rPr>
      </w:pPr>
      <w:bookmarkStart w:id="10" w:name="P016D"/>
      <w:bookmarkStart w:id="11" w:name="P016D"/>
      <w:bookmarkEnd w:id="11"/>
      <w:r>
        <w:rPr>
          <w:rFonts w:ascii="Times New Roman" w:hAnsi="Times New Roman"/>
          <w:sz w:val="28"/>
          <w:szCs w:val="28"/>
        </w:rPr>
      </w:r>
    </w:p>
    <w:p>
      <w:pPr>
        <w:pStyle w:val="Style15"/>
        <w:widowControl/>
        <w:pBdr/>
        <w:shd w:fill="FFFFFF" w:val="clear"/>
        <w:spacing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444444"/>
          <w:spacing w:val="0"/>
          <w:sz w:val="28"/>
          <w:szCs w:val="28"/>
        </w:rPr>
      </w:pPr>
      <w:bookmarkStart w:id="12" w:name="P016D_1"/>
      <w:bookmarkEnd w:id="12"/>
      <w:r>
        <w:rPr>
          <w:rFonts w:ascii="Times New Roman" w:hAnsi="Times New Roman"/>
          <w:b w:val="false"/>
          <w:i w:val="false"/>
          <w:caps w:val="false"/>
          <w:smallCaps w:val="false"/>
          <w:color w:val="444444"/>
          <w:spacing w:val="0"/>
          <w:sz w:val="28"/>
          <w:szCs w:val="28"/>
        </w:rPr>
        <w:t>Размещение транспортных средств на озелененных территориях, расположенных в границах населенных пунктов, и детских площадках -</w:t>
      </w:r>
    </w:p>
    <w:p>
      <w:pPr>
        <w:pStyle w:val="Normal"/>
        <w:ind w:left="0" w:right="0" w:firstLine="567"/>
        <w:jc w:val="both"/>
        <w:rPr>
          <w:rFonts w:ascii="Times New Roman" w:hAnsi="Times New Roman"/>
          <w:b w:val="false"/>
          <w:b w:val="false"/>
          <w:bCs w:val="false"/>
          <w:i/>
          <w:i/>
          <w:iCs/>
          <w:sz w:val="28"/>
          <w:szCs w:val="28"/>
        </w:rPr>
      </w:pPr>
      <w:r>
        <w:rPr>
          <w:rFonts w:ascii="Times New Roman" w:hAnsi="Times New Roman"/>
          <w:b w:val="false"/>
          <w:bCs w:val="false"/>
          <w:i/>
          <w:iCs/>
          <w:caps w:val="false"/>
          <w:smallCaps w:val="false"/>
          <w:color w:val="444444"/>
          <w:spacing w:val="0"/>
          <w:sz w:val="28"/>
          <w:szCs w:val="28"/>
        </w:rPr>
        <w:t>влечет наложение административного штрафа в размере двух тысяч рублей.</w:t>
      </w:r>
      <w:r>
        <w:rPr>
          <w:rFonts w:ascii="Times New Roman" w:hAnsi="Times New Roman"/>
          <w:b w:val="false"/>
          <w:bCs w:val="false"/>
          <w:i/>
          <w:iCs/>
          <w:color w:val="010101"/>
          <w:sz w:val="28"/>
          <w:szCs w:val="28"/>
        </w:rPr>
        <w:t xml:space="preserve"> </w:t>
      </w:r>
    </w:p>
    <w:p>
      <w:pPr>
        <w:pStyle w:val="Normal"/>
        <w:ind w:left="0" w:right="0" w:firstLine="567"/>
        <w:jc w:val="both"/>
        <w:rPr>
          <w:color w:val="010101"/>
        </w:rPr>
      </w:pPr>
      <w:r>
        <w:rPr>
          <w:rFonts w:ascii="Times New Roman" w:hAnsi="Times New Roman"/>
          <w:b w:val="false"/>
          <w:bCs w:val="false"/>
          <w:i/>
          <w:iCs/>
          <w:sz w:val="28"/>
          <w:szCs w:val="28"/>
        </w:rPr>
      </w:r>
    </w:p>
    <w:p>
      <w:pPr>
        <w:pStyle w:val="Normal"/>
        <w:ind w:left="0" w:right="0" w:firstLine="567"/>
        <w:jc w:val="both"/>
        <w:rPr>
          <w:color w:val="010101"/>
        </w:rPr>
      </w:pPr>
      <w:r>
        <w:rPr>
          <w:rFonts w:ascii="Times New Roman" w:hAnsi="Times New Roman"/>
          <w:b w:val="false"/>
          <w:bCs w:val="false"/>
          <w:i/>
          <w:iCs/>
          <w:sz w:val="28"/>
          <w:szCs w:val="28"/>
        </w:rPr>
      </w:r>
    </w:p>
    <w:p>
      <w:pPr>
        <w:pStyle w:val="Normal"/>
        <w:ind w:left="0" w:right="0" w:firstLine="567"/>
        <w:jc w:val="both"/>
        <w:rPr>
          <w:color w:val="010101"/>
        </w:rPr>
      </w:pPr>
      <w:r>
        <w:rPr>
          <w:rFonts w:ascii="Times New Roman" w:hAnsi="Times New Roman"/>
          <w:b w:val="false"/>
          <w:bCs w:val="false"/>
          <w:i/>
          <w:iCs/>
          <w:sz w:val="28"/>
          <w:szCs w:val="28"/>
        </w:rPr>
      </w:r>
    </w:p>
    <w:p>
      <w:pPr>
        <w:pStyle w:val="Normal"/>
        <w:ind w:left="0" w:right="0" w:firstLine="567"/>
        <w:jc w:val="both"/>
        <w:rPr>
          <w:color w:val="010101"/>
        </w:rPr>
      </w:pPr>
      <w:r>
        <w:rPr>
          <w:rFonts w:ascii="Times New Roman" w:hAnsi="Times New Roman"/>
          <w:b w:val="false"/>
          <w:bCs w:val="false"/>
          <w:i/>
          <w:iCs/>
          <w:sz w:val="28"/>
          <w:szCs w:val="28"/>
        </w:rPr>
      </w:r>
    </w:p>
    <w:p>
      <w:pPr>
        <w:pStyle w:val="Normal"/>
        <w:ind w:left="0" w:right="0" w:firstLine="567"/>
        <w:jc w:val="both"/>
        <w:rPr>
          <w:color w:val="010101"/>
        </w:rPr>
      </w:pPr>
      <w:r>
        <w:rPr>
          <w:rFonts w:ascii="Times New Roman" w:hAnsi="Times New Roman"/>
          <w:b w:val="false"/>
          <w:bCs w:val="false"/>
          <w:i/>
          <w:iCs/>
          <w:sz w:val="28"/>
          <w:szCs w:val="28"/>
        </w:rPr>
      </w:r>
    </w:p>
    <w:p>
      <w:pPr>
        <w:pStyle w:val="Normal"/>
        <w:ind w:left="0" w:right="0" w:firstLine="567"/>
        <w:jc w:val="both"/>
        <w:rPr>
          <w:color w:val="010101"/>
        </w:rPr>
      </w:pPr>
      <w:r>
        <w:rPr>
          <w:rFonts w:ascii="Times New Roman" w:hAnsi="Times New Roman"/>
          <w:b w:val="false"/>
          <w:bCs w:val="false"/>
          <w:i/>
          <w:iCs/>
          <w:sz w:val="28"/>
          <w:szCs w:val="28"/>
        </w:rPr>
      </w:r>
    </w:p>
    <w:p>
      <w:pPr>
        <w:pStyle w:val="Normal"/>
        <w:ind w:left="0" w:right="0" w:firstLine="567"/>
        <w:jc w:val="both"/>
        <w:rPr>
          <w:color w:val="010101"/>
        </w:rPr>
      </w:pPr>
      <w:r>
        <w:rPr>
          <w:rFonts w:ascii="Times New Roman" w:hAnsi="Times New Roman"/>
          <w:b w:val="false"/>
          <w:bCs w:val="false"/>
          <w:i/>
          <w:iCs/>
          <w:sz w:val="28"/>
          <w:szCs w:val="28"/>
        </w:rPr>
      </w:r>
    </w:p>
    <w:p>
      <w:pPr>
        <w:pStyle w:val="Normal"/>
        <w:ind w:left="0" w:right="0" w:firstLine="567"/>
        <w:jc w:val="center"/>
        <w:rPr>
          <w:rFonts w:ascii="Times New Roman" w:hAnsi="Times New Roman"/>
          <w:b/>
          <w:b/>
          <w:bCs/>
          <w:i w:val="false"/>
          <w:i w:val="false"/>
          <w:iCs w:val="false"/>
          <w:sz w:val="32"/>
          <w:szCs w:val="32"/>
        </w:rPr>
      </w:pPr>
      <w:r>
        <w:rPr>
          <w:rFonts w:ascii="Times New Roman" w:hAnsi="Times New Roman"/>
          <w:b/>
          <w:bCs/>
          <w:i w:val="false"/>
          <w:iCs w:val="false"/>
          <w:color w:val="010101"/>
          <w:sz w:val="32"/>
          <w:szCs w:val="32"/>
        </w:rPr>
        <w:t>С</w:t>
      </w:r>
      <w:r>
        <w:rPr>
          <w:rFonts w:ascii="Times New Roman" w:hAnsi="Times New Roman"/>
          <w:b/>
          <w:bCs/>
          <w:i w:val="false"/>
          <w:iCs w:val="false"/>
          <w:color w:val="010101"/>
          <w:sz w:val="32"/>
          <w:szCs w:val="32"/>
        </w:rPr>
        <w:t>одержание индивидуальных жилых домов</w:t>
      </w:r>
    </w:p>
    <w:p>
      <w:pPr>
        <w:pStyle w:val="Normal"/>
        <w:ind w:left="0" w:right="0" w:firstLine="567"/>
        <w:jc w:val="center"/>
        <w:rPr>
          <w:rFonts w:ascii="Times New Roman" w:hAnsi="Times New Roman"/>
          <w:b/>
          <w:b/>
          <w:bCs/>
          <w:i w:val="false"/>
          <w:i w:val="false"/>
          <w:iCs w:val="false"/>
          <w:sz w:val="32"/>
          <w:szCs w:val="32"/>
        </w:rPr>
      </w:pPr>
      <w:r>
        <w:rPr>
          <w:rFonts w:ascii="Times New Roman" w:hAnsi="Times New Roman"/>
          <w:b/>
          <w:bCs/>
          <w:i w:val="false"/>
          <w:iCs w:val="false"/>
          <w:sz w:val="32"/>
          <w:szCs w:val="32"/>
        </w:rPr>
      </w:r>
    </w:p>
    <w:p>
      <w:pPr>
        <w:pStyle w:val="Style15"/>
        <w:ind w:left="0" w:right="0" w:firstLine="567"/>
        <w:jc w:val="center"/>
        <w:rPr>
          <w:rFonts w:ascii="Times New Roman" w:hAnsi="Times New Roman"/>
          <w:b/>
          <w:b/>
          <w:bCs/>
          <w:i w:val="false"/>
          <w:i w:val="false"/>
          <w:iCs w:val="false"/>
          <w:sz w:val="32"/>
          <w:szCs w:val="32"/>
        </w:rPr>
      </w:pPr>
      <w: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0</wp:posOffset>
            </wp:positionH>
            <wp:positionV relativeFrom="paragraph">
              <wp:posOffset>41275</wp:posOffset>
            </wp:positionV>
            <wp:extent cx="6120130" cy="4077970"/>
            <wp:effectExtent l="0" t="0" r="0" b="0"/>
            <wp:wrapSquare wrapText="largest"/>
            <wp:docPr id="3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;Helvetica;sans-serif" w:hAnsi="Arial;Helvetica;sans-serif"/>
          <w:b/>
          <w:bCs/>
          <w:i w:val="false"/>
          <w:iCs w:val="false"/>
          <w:color w:val="010101"/>
          <w:sz w:val="21"/>
          <w:szCs w:val="32"/>
        </w:rPr>
        <w:t>В соответствии с ПРАВИЛАМИ БЛАГОУСТРОЙСТВА ТЕРРИТОРИИ МУНИЦИПАЛЬНОГО ОБРАЗОВАНИЯ ГОРОД ВЕНЕВ ВЕНЕВСКОГО РАЙОНА</w:t>
      </w:r>
    </w:p>
    <w:p>
      <w:pPr>
        <w:pStyle w:val="Style15"/>
        <w:ind w:left="0" w:right="0" w:firstLine="567"/>
        <w:jc w:val="center"/>
        <w:rPr>
          <w:rFonts w:ascii="Arial;Helvetica;sans-serif" w:hAnsi="Arial;Helvetica;sans-serif"/>
          <w:color w:val="010101"/>
          <w:sz w:val="21"/>
        </w:rPr>
      </w:pPr>
      <w:r>
        <w:rPr>
          <w:rFonts w:ascii="Times New Roman" w:hAnsi="Times New Roman"/>
          <w:b/>
          <w:bCs/>
          <w:i w:val="false"/>
          <w:iCs w:val="false"/>
          <w:sz w:val="32"/>
          <w:szCs w:val="32"/>
        </w:rPr>
      </w:r>
    </w:p>
    <w:p>
      <w:pPr>
        <w:pStyle w:val="Style15"/>
        <w:ind w:left="0" w:right="0" w:firstLine="567"/>
        <w:jc w:val="center"/>
        <w:rPr>
          <w:rFonts w:ascii="Times New Roman" w:hAnsi="Times New Roman"/>
          <w:b/>
          <w:b/>
          <w:bCs/>
          <w:i w:val="false"/>
          <w:i w:val="false"/>
          <w:iCs w:val="false"/>
          <w:sz w:val="32"/>
          <w:szCs w:val="32"/>
        </w:rPr>
      </w:pPr>
      <w:r>
        <w:rPr>
          <w:rFonts w:ascii="Arial;Helvetica;sans-serif" w:hAnsi="Arial;Helvetica;sans-serif"/>
          <w:b/>
          <w:bCs/>
          <w:i/>
          <w:iCs w:val="false"/>
          <w:color w:val="010101"/>
          <w:sz w:val="21"/>
          <w:szCs w:val="32"/>
        </w:rPr>
        <w:t>(утверждены решением Собрания депутатов муниципального образования город Венев Веневского района от 23.07.2020г. № 22/2 (в ред. от 02.09.2022 № 47/1)</w:t>
      </w:r>
    </w:p>
    <w:p>
      <w:pPr>
        <w:pStyle w:val="ConsPlusNormal"/>
        <w:ind w:firstLine="54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5.2.52. Владельцы индивидуальных жилых домов обязаны содержать в порядке земельный участок в пределах землеотвода и обеспечивать надлежащее санитарное состояние прилегающей территории, а именно:</w:t>
      </w:r>
    </w:p>
    <w:p>
      <w:pPr>
        <w:pStyle w:val="ConsPlusNormal"/>
        <w:spacing w:before="220" w:after="0"/>
        <w:ind w:firstLine="54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- постоянно обеспечивать надлежащее состояние фасадов зданий, заборов и ограждений, а также прочих сооружений в пределах землеотвода;</w:t>
      </w:r>
    </w:p>
    <w:p>
      <w:pPr>
        <w:pStyle w:val="ConsPlusNormal"/>
        <w:spacing w:before="220" w:after="0"/>
        <w:ind w:firstLine="54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- производить уборку территории частного домовладения со стороны дорог, улиц (переулков, проходов, проездов) от мусора, скос и уборку сорной растительности;</w:t>
      </w:r>
    </w:p>
    <w:p>
      <w:pPr>
        <w:pStyle w:val="ConsPlusNormal"/>
        <w:spacing w:before="220" w:after="0"/>
        <w:ind w:firstLine="54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- содержать в порядке зеленые насаждения на территории в пределах землеотвода, проводить санитарную обрезку кустарников и деревьев, поливать их в сухую погоду, не допускать посадок деревьев в охранной зоне газопроводов, кабельных и воздушных линий электропередачи и других инженерных сетей;</w:t>
      </w:r>
    </w:p>
    <w:p>
      <w:pPr>
        <w:pStyle w:val="ConsPlusNormal"/>
        <w:spacing w:before="220" w:after="0"/>
        <w:ind w:firstLine="54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- очищать канавы и трубы для стока воды, проходящие перед застроенным участком, в весенний период обеспечивать проход талых вод;</w:t>
      </w:r>
    </w:p>
    <w:p>
      <w:pPr>
        <w:pStyle w:val="ConsPlusNormal"/>
        <w:spacing w:before="220" w:after="0"/>
        <w:ind w:firstLine="54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- собирать твердые коммунальные отходы только в местах, специально оборудованных в соответствии с санитарными правилами и нормами;</w:t>
      </w:r>
    </w:p>
    <w:p>
      <w:pPr>
        <w:pStyle w:val="ConsPlusNormal"/>
        <w:spacing w:before="220" w:after="0"/>
        <w:ind w:firstLine="54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- производить сбор жидких бытовых отходов и нечистот в неканализованных индивидуальных жилых домах в места, специально оборудованные для этих целей в соответствии с санитарными правилами и нормами;</w:t>
      </w:r>
    </w:p>
    <w:p>
      <w:pPr>
        <w:pStyle w:val="ConsPlusNormal"/>
        <w:spacing w:before="220" w:after="0"/>
        <w:ind w:firstLine="54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- иметь заключенный договор со специализированной организацией, имеющей право на обращение с опасными отходами IV класса опасности, на обслуживание децентрализованных систем водоотведения (выгребных ям, септиков, локальных очистных сооружений) на территориях, где отсутствует возможность подключения к централизованным сетям канализации;</w:t>
      </w:r>
    </w:p>
    <w:p>
      <w:pPr>
        <w:pStyle w:val="ConsPlusNormal"/>
        <w:spacing w:before="220" w:after="0"/>
        <w:ind w:firstLine="54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- не допускать сброс жидких бытовых отходов и нечистот на пешеходные дорожки, проезжую часть дорог и территории домовладения;</w:t>
      </w:r>
    </w:p>
    <w:p>
      <w:pPr>
        <w:pStyle w:val="ConsPlusNormal"/>
        <w:spacing w:before="220"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spacing w:before="220" w:after="0"/>
        <w:ind w:firstLine="54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- иметь на домах номерные знаки, а также на крайних по улице домах указатели с обозначением наименования улиц и переулков. Номерные знаки и указатели должны быть освещены в темное время суток;</w:t>
      </w:r>
    </w:p>
    <w:p>
      <w:pPr>
        <w:pStyle w:val="ConsPlusNormal"/>
        <w:ind w:firstLine="54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- оборудовать в соответствии с санитарными нормами в пределах землеотвода при отсутствии централизованного канализования местную канализацию, помойную яму, туалет, содержать их в чистоте и порядке, регулярно производить их очистку и дезинфекцию;</w:t>
      </w:r>
    </w:p>
    <w:p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- </w:t>
      </w:r>
      <w:r>
        <w:rPr>
          <w:rStyle w:val="2"/>
          <w:rFonts w:eastAsia="Tahoma" w:cs="Times New Roman" w:ascii="Times New Roman" w:hAnsi="Times New Roman"/>
          <w:sz w:val="28"/>
          <w:szCs w:val="28"/>
        </w:rPr>
        <w:t>правообладатели земельных участков обязаны проводить мероприятия по удалению борщевика Сосновского с земельных участков, находящихся в их собственности, владении пользовании. Мероприятия по удалению борщевика Сосновского могут проводиться следующими способами:</w:t>
      </w:r>
    </w:p>
    <w:p>
      <w:pPr>
        <w:pStyle w:val="Normal"/>
        <w:spacing w:lineRule="auto" w:line="240" w:before="0" w:after="0"/>
        <w:ind w:firstLine="709"/>
        <w:jc w:val="both"/>
        <w:rPr/>
      </w:pPr>
      <w:r>
        <w:rPr>
          <w:rStyle w:val="2"/>
          <w:rFonts w:eastAsia="Tahoma" w:cs="Times New Roman" w:ascii="Times New Roman" w:hAnsi="Times New Roman"/>
          <w:sz w:val="28"/>
          <w:szCs w:val="28"/>
        </w:rPr>
        <w:t>химическим - опрыскивание очагов произрастания гербицидами и (или) арборицидами; механическим - скашивание, уборка сухих растений, выкапывание корневой системы, агротехническим - обработка почвы, посев многолетних трав.</w:t>
      </w:r>
    </w:p>
    <w:p>
      <w:pPr>
        <w:pStyle w:val="ConsPlusNormal"/>
        <w:spacing w:before="220" w:after="0"/>
        <w:ind w:firstLine="54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5.2.53. В зоне индивидуальной жилой застройки вывоз твердых коммунальных отходов и жидких отходов осуществляется за счет домовладельцев или лиц, проживающих в домах.</w:t>
      </w:r>
    </w:p>
    <w:p>
      <w:pPr>
        <w:pStyle w:val="ConsPlusNormal"/>
        <w:spacing w:before="220" w:after="0"/>
        <w:ind w:firstLine="54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5.2.54. Собственникам неканализованных домовладений и сооружений, которые расположены на территориях, где отсутствуют централизованные системы водоотведения, запрещается:</w:t>
      </w:r>
    </w:p>
    <w:p>
      <w:pPr>
        <w:pStyle w:val="ConsPlusNormal"/>
        <w:spacing w:before="220" w:after="0"/>
        <w:ind w:firstLine="54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- иметь и осуществлять эксплуатацию выгребных ям, не обеспечивающих водонепроницаемость объекта по причине нарушения целостности конструкций стенок и дна, устройства переливных труб;</w:t>
      </w:r>
    </w:p>
    <w:p>
      <w:pPr>
        <w:pStyle w:val="ConsPlusNormal"/>
        <w:spacing w:before="220" w:after="0"/>
        <w:ind w:firstLine="54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- допускать наполнение выгребных ям нечистотами выше чем 0,35 м от поверхности земли;</w:t>
      </w:r>
    </w:p>
    <w:p>
      <w:pPr>
        <w:pStyle w:val="ConsPlusNormal"/>
        <w:spacing w:before="220" w:after="0"/>
        <w:ind w:firstLine="54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- не иметь беспрепятственных подъездов специализированной техники для откачки сточных вод из выгребных ям.</w:t>
      </w:r>
    </w:p>
    <w:p>
      <w:pPr>
        <w:pStyle w:val="ConsPlusNormal"/>
        <w:spacing w:before="220" w:after="0"/>
        <w:ind w:firstLine="54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5.2.55. В зоне застройки индивидуальными жилыми домами вывоз отходов производства и потребления осуществляется за счет собственников или иных владельцев индивидуальных жилых домов.</w:t>
      </w:r>
    </w:p>
    <w:p>
      <w:pPr>
        <w:pStyle w:val="Normal"/>
        <w:spacing w:lineRule="auto" w:line="240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5.2.56. </w:t>
      </w:r>
      <w:r>
        <w:rPr>
          <w:rStyle w:val="2"/>
          <w:rFonts w:eastAsia="Tahoma" w:cs="Times New Roman" w:ascii="Times New Roman" w:hAnsi="Times New Roman"/>
          <w:sz w:val="28"/>
          <w:szCs w:val="28"/>
        </w:rPr>
        <w:t>При содержании домашних животных в частном секторе (На основании ФЗ от 27.12.2018  № 498 -Ф№ «Об ответственном обращении с животными и о внесении изменений в отдельные законодательные акты Российской Федерации»)</w:t>
      </w:r>
    </w:p>
    <w:p>
      <w:pPr>
        <w:pStyle w:val="Style15"/>
        <w:shd w:val="clear" w:color="auto" w:fill="FFFFFF"/>
        <w:spacing w:lineRule="auto" w:line="240"/>
        <w:ind w:firstLine="709"/>
        <w:jc w:val="both"/>
        <w:rPr/>
      </w:pPr>
      <w:bookmarkStart w:id="13" w:name="131"/>
      <w:bookmarkEnd w:id="13"/>
      <w:r>
        <w:rPr>
          <w:rStyle w:val="2"/>
          <w:rFonts w:eastAsia="Tahoma" w:cs="Times New Roman" w:ascii="Times New Roman" w:hAnsi="Times New Roman"/>
          <w:color w:val="00000A"/>
          <w:sz w:val="28"/>
          <w:szCs w:val="28"/>
          <w:lang w:eastAsia="ru-RU"/>
        </w:rPr>
        <w:t>1. При содержании домашних животных их владельцам необходимо соблюдать общие требования к содержанию животных, а также права и законные интересы лиц, проживающих в  доме, в помещениях которого содержатся домашние животные.</w:t>
      </w:r>
    </w:p>
    <w:p>
      <w:pPr>
        <w:pStyle w:val="Style15"/>
        <w:spacing w:lineRule="auto" w:line="240" w:before="0" w:after="255"/>
        <w:ind w:firstLine="709"/>
        <w:jc w:val="both"/>
        <w:rPr/>
      </w:pPr>
      <w:bookmarkStart w:id="14" w:name="132"/>
      <w:bookmarkEnd w:id="14"/>
      <w:r>
        <w:rPr>
          <w:rStyle w:val="2"/>
          <w:rFonts w:eastAsia="Tahoma" w:cs="Times New Roman" w:ascii="Times New Roman" w:hAnsi="Times New Roman"/>
          <w:color w:val="00000A"/>
          <w:sz w:val="28"/>
          <w:szCs w:val="28"/>
          <w:lang w:eastAsia="ru-RU"/>
        </w:rPr>
        <w:t>2. Не допускается использование домашних животных в предпринимательской деятельности, за исключением случаев, установленных Правительством Российской Федерации.</w:t>
      </w:r>
    </w:p>
    <w:p>
      <w:pPr>
        <w:pStyle w:val="Style15"/>
        <w:spacing w:lineRule="auto" w:line="240" w:before="0" w:after="255"/>
        <w:ind w:firstLine="709"/>
        <w:jc w:val="both"/>
        <w:rPr/>
      </w:pPr>
      <w:bookmarkStart w:id="15" w:name="133"/>
      <w:bookmarkEnd w:id="15"/>
      <w:r>
        <w:rPr>
          <w:rStyle w:val="2"/>
          <w:rFonts w:eastAsia="Tahoma" w:cs="Times New Roman" w:ascii="Times New Roman" w:hAnsi="Times New Roman"/>
          <w:color w:val="00000A"/>
          <w:sz w:val="28"/>
          <w:szCs w:val="28"/>
          <w:lang w:eastAsia="ru-RU"/>
        </w:rPr>
        <w:t>3. Предельное количество домашних животных в местах содержания животных определяется исходя из возможности владельца обеспечивать животным условия, соответствующие ветеринарным нормам и правилам, а также с учетом соблюдения санитарно-эпидемиологических правил и нормативов.</w:t>
      </w:r>
    </w:p>
    <w:p>
      <w:pPr>
        <w:pStyle w:val="Style15"/>
        <w:spacing w:lineRule="auto" w:line="240" w:before="0" w:after="255"/>
        <w:ind w:firstLine="709"/>
        <w:jc w:val="both"/>
        <w:rPr/>
      </w:pPr>
      <w:bookmarkStart w:id="16" w:name="134"/>
      <w:bookmarkEnd w:id="16"/>
      <w:r>
        <w:rPr>
          <w:rStyle w:val="2"/>
          <w:rFonts w:eastAsia="Tahoma" w:cs="Times New Roman" w:ascii="Times New Roman" w:hAnsi="Times New Roman"/>
          <w:color w:val="00000A"/>
          <w:sz w:val="28"/>
          <w:szCs w:val="28"/>
          <w:lang w:eastAsia="ru-RU"/>
        </w:rPr>
        <w:t>4. Выгул домашних животных должен осуществляться при условии обязательного обеспечения безопасности граждан, животных, сохранности имущества физических лиц и юридических лиц.</w:t>
      </w:r>
    </w:p>
    <w:p>
      <w:pPr>
        <w:pStyle w:val="Style15"/>
        <w:spacing w:lineRule="auto" w:line="240" w:before="0" w:after="255"/>
        <w:ind w:firstLine="709"/>
        <w:jc w:val="both"/>
        <w:rPr/>
      </w:pPr>
      <w:bookmarkStart w:id="17" w:name="135"/>
      <w:bookmarkEnd w:id="17"/>
      <w:r>
        <w:rPr>
          <w:rStyle w:val="2"/>
          <w:rFonts w:eastAsia="Tahoma" w:cs="Times New Roman" w:ascii="Times New Roman" w:hAnsi="Times New Roman"/>
          <w:color w:val="00000A"/>
          <w:sz w:val="28"/>
          <w:szCs w:val="28"/>
          <w:lang w:eastAsia="ru-RU"/>
        </w:rPr>
        <w:t>5. При выгуле домашнего животного необходимо соблюдать следующие требования:</w:t>
      </w:r>
    </w:p>
    <w:p>
      <w:pPr>
        <w:pStyle w:val="Style15"/>
        <w:spacing w:lineRule="auto" w:line="240" w:before="0" w:after="255"/>
        <w:ind w:firstLine="709"/>
        <w:jc w:val="both"/>
        <w:rPr/>
      </w:pPr>
      <w:bookmarkStart w:id="18" w:name="1351"/>
      <w:bookmarkEnd w:id="18"/>
      <w:r>
        <w:rPr>
          <w:rStyle w:val="2"/>
          <w:rFonts w:eastAsia="Tahoma" w:cs="Times New Roman" w:ascii="Times New Roman" w:hAnsi="Times New Roman"/>
          <w:color w:val="00000A"/>
          <w:sz w:val="28"/>
          <w:szCs w:val="28"/>
          <w:lang w:eastAsia="ru-RU"/>
        </w:rPr>
        <w:t>1) исключать возможность свободного, неконтролируемого передвижения животного при пересечении проезжей части автомобильной дороги, помещениях общего пользования многоквартирных домов, во дворах таких домов, на детских и спортивных площадках;</w:t>
      </w:r>
    </w:p>
    <w:p>
      <w:pPr>
        <w:pStyle w:val="Style15"/>
        <w:spacing w:lineRule="auto" w:line="240" w:before="0" w:after="255"/>
        <w:ind w:firstLine="709"/>
        <w:jc w:val="both"/>
        <w:rPr/>
      </w:pPr>
      <w:bookmarkStart w:id="19" w:name="1352"/>
      <w:bookmarkEnd w:id="19"/>
      <w:r>
        <w:rPr>
          <w:rStyle w:val="2"/>
          <w:rFonts w:eastAsia="Tahoma" w:cs="Times New Roman" w:ascii="Times New Roman" w:hAnsi="Times New Roman"/>
          <w:color w:val="00000A"/>
          <w:sz w:val="28"/>
          <w:szCs w:val="28"/>
          <w:lang w:eastAsia="ru-RU"/>
        </w:rPr>
        <w:t>2) обеспечивать уборку продуктов жизнедеятельности животного в местах и на территориях общего пользования;</w:t>
      </w:r>
    </w:p>
    <w:p>
      <w:pPr>
        <w:pStyle w:val="Style15"/>
        <w:spacing w:lineRule="auto" w:line="240" w:before="0" w:after="255"/>
        <w:ind w:firstLine="709"/>
        <w:jc w:val="both"/>
        <w:rPr/>
      </w:pPr>
      <w:bookmarkStart w:id="20" w:name="1353"/>
      <w:bookmarkEnd w:id="20"/>
      <w:r>
        <w:rPr>
          <w:rStyle w:val="2"/>
          <w:rFonts w:eastAsia="Tahoma" w:cs="Times New Roman" w:ascii="Times New Roman" w:hAnsi="Times New Roman"/>
          <w:color w:val="00000A"/>
          <w:sz w:val="28"/>
          <w:szCs w:val="28"/>
          <w:lang w:eastAsia="ru-RU"/>
        </w:rPr>
        <w:t>3) не допускать выгул животного  на территории детский садов, школ, учреждений дополнительного образования, территорий зон особо охраняемых природных территорий, зоны отдыха, парков, садов, бульваров, скверов, детских игровых площадкок.</w:t>
      </w:r>
    </w:p>
    <w:p>
      <w:pPr>
        <w:pStyle w:val="Style15"/>
        <w:spacing w:lineRule="auto" w:line="240" w:before="0" w:after="255"/>
        <w:ind w:firstLine="709"/>
        <w:jc w:val="both"/>
        <w:rPr/>
      </w:pPr>
      <w:bookmarkStart w:id="21" w:name="136"/>
      <w:bookmarkEnd w:id="21"/>
      <w:r>
        <w:rPr>
          <w:rStyle w:val="2"/>
          <w:rFonts w:eastAsia="Tahoma" w:cs="Times New Roman" w:ascii="Times New Roman" w:hAnsi="Times New Roman"/>
          <w:color w:val="00000A"/>
          <w:sz w:val="28"/>
          <w:szCs w:val="28"/>
          <w:lang w:eastAsia="ru-RU"/>
        </w:rPr>
        <w:t>6. Выгул потенциально опасной собаки без намордника и поводка независимо от места выгула запрещается, за исключением случаев, если потенциально опасная собака находится на огороженной территории, принадлежащей владельцу потенциально опасной собаки на праве собственности или ином законном основании. О наличии этой собаки должна быть сделана предупреждающая надпись при входе на данную территорию.</w:t>
      </w:r>
    </w:p>
    <w:p>
      <w:pPr>
        <w:pStyle w:val="Style15"/>
        <w:spacing w:lineRule="auto" w:line="240" w:before="0" w:after="255"/>
        <w:ind w:firstLine="709"/>
        <w:jc w:val="both"/>
        <w:rPr/>
      </w:pPr>
      <w:bookmarkStart w:id="22" w:name="137"/>
      <w:bookmarkEnd w:id="22"/>
      <w:r>
        <w:rPr>
          <w:rStyle w:val="2"/>
          <w:rFonts w:eastAsia="Tahoma" w:cs="Times New Roman" w:ascii="Times New Roman" w:hAnsi="Times New Roman"/>
          <w:color w:val="00000A"/>
          <w:sz w:val="28"/>
          <w:szCs w:val="28"/>
          <w:lang w:eastAsia="ru-RU"/>
        </w:rPr>
        <w:t>7. Перечень потенциально опасных собак утверждается Правительством Российской Федерации.</w:t>
      </w:r>
    </w:p>
    <w:p>
      <w:pPr>
        <w:pStyle w:val="ConsPlusNormal"/>
        <w:spacing w:before="220" w:after="0"/>
        <w:ind w:firstLine="54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5.2.57. Собственникам индивидуальных жилых домов запрещается:</w:t>
      </w:r>
    </w:p>
    <w:p>
      <w:pPr>
        <w:pStyle w:val="ConsPlusNormal"/>
        <w:spacing w:before="220" w:after="0"/>
        <w:ind w:firstLine="54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- складирование и хранение вне землеотвода строительных материалов, угля, дров;</w:t>
      </w:r>
    </w:p>
    <w:p>
      <w:pPr>
        <w:pStyle w:val="ConsPlusNormal"/>
        <w:spacing w:before="220" w:after="0"/>
        <w:ind w:firstLine="54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- захламлять прилегающую территорию отходами производства и потребления.</w:t>
      </w:r>
    </w:p>
    <w:p>
      <w:pPr>
        <w:pStyle w:val="ConsPlusNormal"/>
        <w:spacing w:before="220" w:after="0"/>
        <w:ind w:firstLine="54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5.2.58. Порядок участия юридических и физических лиц в содержании и благоустройстве прилегающих территорий.</w:t>
      </w:r>
    </w:p>
    <w:p>
      <w:pPr>
        <w:pStyle w:val="ConsPlusNormal"/>
        <w:spacing w:before="220" w:after="0"/>
        <w:ind w:firstLine="54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5.2.58.1. Участие физических, юридических лиц, индивидуальных предпринимателей, являющихся собственниками зданий (помещений в них), сооружений, включая временные сооружения, а также владеющих земельными участками на праве собственности, ином вещном праве, праве аренды, ином законном праве, в содержании и благоустройстве прилегающих территорий осуществляется в соответствии с согласованными с ними схемами подведомственной территории.</w:t>
      </w:r>
    </w:p>
    <w:p>
      <w:pPr>
        <w:pStyle w:val="ConsPlusNormal"/>
        <w:spacing w:before="220" w:after="0"/>
        <w:ind w:firstLine="54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32"/>
          <w:szCs w:val="32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color w:val="010101"/>
          <w:sz w:val="28"/>
          <w:szCs w:val="28"/>
        </w:rPr>
        <w:t>5.2.58.2. Обязательства по уборке прилегающих территорий, перечень работ и определение границ прилегающей территории устанавливаются в договорах аренды, безвозмездного пользования муниципальным имуществом, а с собственниками земельных участков, индивидуальных жилых домов, нежилых зданий - путем заключения соглашений по содержанию прилегающих территорий к данным земельным участкам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Sylfaen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Calibri">
    <w:charset w:val="cc"/>
    <w:family w:val="roman"/>
    <w:pitch w:val="variable"/>
  </w:font>
  <w:font w:name="Times New Roman">
    <w:charset w:val="01"/>
    <w:family w:val="roman"/>
    <w:pitch w:val="variable"/>
  </w:font>
  <w:font w:name="Arial">
    <w:altName w:val="sans-serif"/>
    <w:charset w:val="cc"/>
    <w:family w:val="auto"/>
    <w:pitch w:val="default"/>
  </w:font>
  <w:font w:name="Arial">
    <w:altName w:val="Helvetica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kern w:val="2"/>
        <w:sz w:val="24"/>
        <w:szCs w:val="24"/>
        <w:lang w:val="ru-RU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SimSun" w:cs="Arial"/>
      <w:color w:val="auto"/>
      <w:kern w:val="2"/>
      <w:sz w:val="24"/>
      <w:szCs w:val="24"/>
      <w:lang w:val="ru-RU" w:eastAsia="zh-CN" w:bidi="hi-IN"/>
    </w:rPr>
  </w:style>
  <w:style w:type="paragraph" w:styleId="3">
    <w:name w:val="Heading 3"/>
    <w:basedOn w:val="Style14"/>
    <w:next w:val="Style15"/>
    <w:qFormat/>
    <w:pPr>
      <w:spacing w:before="140" w:after="120"/>
      <w:outlineLvl w:val="2"/>
    </w:pPr>
    <w:rPr>
      <w:rFonts w:ascii="Liberation Serif" w:hAnsi="Liberation Serif" w:eastAsia="SimSun" w:cs="Arial"/>
      <w:b/>
      <w:bCs/>
      <w:sz w:val="28"/>
      <w:szCs w:val="28"/>
    </w:rPr>
  </w:style>
  <w:style w:type="character" w:styleId="Style13">
    <w:name w:val="Интернет-ссылка"/>
    <w:rPr>
      <w:color w:val="000080"/>
      <w:u w:val="single"/>
      <w:lang w:val="zxx" w:eastAsia="zxx" w:bidi="zxx"/>
    </w:rPr>
  </w:style>
  <w:style w:type="character" w:styleId="DefaultParagraphFont">
    <w:name w:val="Default Paragraph Font"/>
    <w:qFormat/>
    <w:rPr/>
  </w:style>
  <w:style w:type="character" w:styleId="2">
    <w:name w:val="Основной текст (2)"/>
    <w:basedOn w:val="DefaultParagraphFont"/>
    <w:qFormat/>
    <w:rPr>
      <w:rFonts w:ascii="Sylfaen" w:hAnsi="Sylfaen" w:cs="Sylfaen"/>
      <w:b w:val="false"/>
      <w:i w:val="false"/>
      <w:caps w:val="false"/>
      <w:smallCaps w:val="false"/>
      <w:strike w:val="false"/>
      <w:dstrike w:val="false"/>
      <w:sz w:val="22"/>
      <w:u w:val="none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88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  <w:style w:type="paragraph" w:styleId="ConsPlusNormal">
    <w:name w:val="ConsPlusNormal"/>
    <w:qFormat/>
    <w:pPr>
      <w:widowControl w:val="false"/>
      <w:bidi w:val="0"/>
      <w:spacing w:lineRule="auto" w:line="240" w:before="0" w:after="0"/>
      <w:jc w:val="left"/>
    </w:pPr>
    <w:rPr>
      <w:rFonts w:ascii="Calibri" w:hAnsi="Calibri" w:eastAsia="Times New Roman" w:cs="Calibri" w:asciiTheme="minorHAnsi" w:hAnsiTheme="minorHAnsi"/>
      <w:color w:val="00000A"/>
      <w:kern w:val="0"/>
      <w:sz w:val="22"/>
      <w:szCs w:val="20"/>
      <w:lang w:val="ru-RU" w:eastAsia="ru-RU" w:bidi="ar-SA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docs.cntd.ru/document/450366101" TargetMode="External"/><Relationship Id="rId4" Type="http://schemas.openxmlformats.org/officeDocument/2006/relationships/hyperlink" Target="https://docs.cntd.ru/document/901807667" TargetMode="External"/><Relationship Id="rId5" Type="http://schemas.openxmlformats.org/officeDocument/2006/relationships/image" Target="media/image2.jpeg"/><Relationship Id="rId6" Type="http://schemas.openxmlformats.org/officeDocument/2006/relationships/hyperlink" Target="https://docs.cntd.ru/document/561621755" TargetMode="External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LibreOffice/5.4.3.2$Windows_X86_64 LibreOffice_project/92a7159f7e4af62137622921e809f8546db437e5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2023-05-18T11:12:29Z</dcterms:created>
  <dc:creator/>
  <dc:description/>
  <dc:language>ru-RU</dc:language>
  <cp:lastModifiedBy/>
  <dcterms:modified xsi:type="dcterms:W3CDTF">2023-05-18T12:36:51Z</dcterms:modified>
  <cp:revision>1</cp:revision>
  <dc:subject/>
  <dc:title/>
</cp:coreProperties>
</file>