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9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5673D5">
        <w:tc>
          <w:tcPr>
            <w:tcW w:w="9569" w:type="dxa"/>
            <w:gridSpan w:val="2"/>
            <w:shd w:val="clear" w:color="auto" w:fill="auto"/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209550</wp:posOffset>
                  </wp:positionV>
                  <wp:extent cx="180975" cy="20002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>Тульская область</w:t>
            </w:r>
          </w:p>
        </w:tc>
      </w:tr>
      <w:tr w:rsidR="005673D5">
        <w:tc>
          <w:tcPr>
            <w:tcW w:w="9569" w:type="dxa"/>
            <w:gridSpan w:val="2"/>
            <w:shd w:val="clear" w:color="auto" w:fill="auto"/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 Веневский район</w:t>
            </w:r>
          </w:p>
        </w:tc>
      </w:tr>
      <w:tr w:rsidR="005673D5">
        <w:tc>
          <w:tcPr>
            <w:tcW w:w="9569" w:type="dxa"/>
            <w:gridSpan w:val="2"/>
            <w:shd w:val="clear" w:color="auto" w:fill="auto"/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673D5">
        <w:tc>
          <w:tcPr>
            <w:tcW w:w="9569" w:type="dxa"/>
            <w:gridSpan w:val="2"/>
            <w:shd w:val="clear" w:color="auto" w:fill="auto"/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</w:tc>
      </w:tr>
      <w:tr w:rsidR="005673D5">
        <w:tc>
          <w:tcPr>
            <w:tcW w:w="9569" w:type="dxa"/>
            <w:gridSpan w:val="2"/>
            <w:shd w:val="clear" w:color="auto" w:fill="auto"/>
            <w:vAlign w:val="center"/>
          </w:tcPr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673D5">
        <w:trPr>
          <w:trHeight w:val="296"/>
        </w:trPr>
        <w:tc>
          <w:tcPr>
            <w:tcW w:w="4785" w:type="dxa"/>
            <w:shd w:val="clear" w:color="auto" w:fill="auto"/>
            <w:vAlign w:val="center"/>
          </w:tcPr>
          <w:p w:rsidR="005673D5" w:rsidRDefault="004E2110" w:rsidP="004E2110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 18.05.2022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673D5" w:rsidRDefault="004E2110" w:rsidP="004E2110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 466</w:t>
            </w:r>
          </w:p>
        </w:tc>
      </w:tr>
    </w:tbl>
    <w:p w:rsidR="005673D5" w:rsidRDefault="005673D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5673D5" w:rsidRDefault="005673D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5673D5" w:rsidRDefault="00567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муниципального образования Веневский район от 20.12.2021 № 1067</w:t>
      </w:r>
    </w:p>
    <w:p w:rsidR="005673D5" w:rsidRDefault="004E2110">
      <w:pPr>
        <w:spacing w:after="0" w:line="240" w:lineRule="auto"/>
        <w:jc w:val="center"/>
      </w:pPr>
      <w:bookmarkStart w:id="1" w:name="__DdeLink__307_2842779202"/>
      <w:bookmarkEnd w:id="1"/>
      <w:r>
        <w:rPr>
          <w:rFonts w:ascii="Times New Roman" w:hAnsi="Times New Roman"/>
          <w:b/>
          <w:color w:val="000000"/>
          <w:sz w:val="28"/>
        </w:rPr>
        <w:t>«Об утверждении 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рограммы по профилактике рисков </w:t>
      </w:r>
    </w:p>
    <w:p w:rsidR="005673D5" w:rsidRDefault="004E2110">
      <w:pPr>
        <w:pStyle w:val="ae"/>
        <w:spacing w:before="0" w:after="0"/>
        <w:jc w:val="center"/>
      </w:pPr>
      <w:r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5673D5" w:rsidRDefault="004E2110">
      <w:pPr>
        <w:pStyle w:val="ae"/>
        <w:spacing w:before="0" w:after="0"/>
        <w:jc w:val="center"/>
      </w:pPr>
      <w:r>
        <w:rPr>
          <w:b/>
          <w:sz w:val="28"/>
          <w:szCs w:val="28"/>
        </w:rPr>
        <w:t xml:space="preserve">при осуществлении </w:t>
      </w:r>
      <w:bookmarkStart w:id="2" w:name="__DdeLink__1366_30875314111"/>
      <w:r>
        <w:rPr>
          <w:b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5673D5" w:rsidRDefault="004E2110">
      <w:pPr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муниципальном образовании Веневский район</w:t>
      </w:r>
      <w:bookmarkEnd w:id="2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5673D5" w:rsidRDefault="005673D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5673D5" w:rsidRDefault="004E2110">
      <w:pPr>
        <w:pStyle w:val="af2"/>
        <w:ind w:firstLine="737"/>
        <w:jc w:val="both"/>
      </w:pPr>
      <w:r>
        <w:rPr>
          <w:color w:val="000000"/>
          <w:sz w:val="28"/>
        </w:rPr>
        <w:t xml:space="preserve">В соответствии со статьей 44 Федерального закона от 31.07.2021  № 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bookmarkStart w:id="3" w:name="__DdeLink__406_1455305127"/>
      <w:r>
        <w:rPr>
          <w:color w:val="000000"/>
          <w:sz w:val="28"/>
        </w:rPr>
        <w:t>от 25.06.2021 № 990 «Об утверждении Правил разработки и утверждения контрольными (надзорными) органами программы профилактики рисков</w:t>
      </w:r>
      <w:bookmarkEnd w:id="3"/>
      <w:r>
        <w:rPr>
          <w:color w:val="000000"/>
          <w:sz w:val="28"/>
        </w:rPr>
        <w:t xml:space="preserve">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color w:val="000000"/>
          <w:sz w:val="28"/>
        </w:rPr>
        <w:t>на территории муниципального образования Веневский район</w:t>
      </w:r>
      <w:r>
        <w:rPr>
          <w:color w:val="000000"/>
          <w:szCs w:val="24"/>
        </w:rPr>
        <w:t xml:space="preserve">, </w:t>
      </w:r>
      <w:r>
        <w:rPr>
          <w:color w:val="000000"/>
          <w:sz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Веневский район ПОСТАНОВЛЯЕТ: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Веневский район от 20.12.2021 № 1067 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программы по профилактике рисков причинения вреда (ущерба) охраняемым законом ценностям при осуществлении </w:t>
      </w:r>
      <w:bookmarkStart w:id="4" w:name="__DdeLink__1366_308753141111"/>
      <w:r>
        <w:rPr>
          <w:rFonts w:ascii="Times New Roman" w:hAnsi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</w:t>
      </w:r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на 2022 год» следующие изменения: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- приложение к постановлению изложить в новой редакции (приложение). 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</w:t>
      </w:r>
      <w:r>
        <w:rPr>
          <w:rFonts w:ascii="Times New Roman" w:hAnsi="Times New Roman"/>
          <w:spacing w:val="4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 (Зайцева О.Ю.)              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5673D5" w:rsidRDefault="004E2110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673D5" w:rsidRDefault="004E21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Постановление вступает в силу со дня опубликования.</w:t>
      </w:r>
    </w:p>
    <w:p w:rsidR="005673D5" w:rsidRDefault="004E211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</w:t>
      </w:r>
    </w:p>
    <w:p w:rsidR="005673D5" w:rsidRDefault="005673D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673D5" w:rsidRDefault="005673D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673D5" w:rsidRDefault="005673D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673D5" w:rsidRDefault="004E211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5673D5" w:rsidRDefault="004E211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5673D5" w:rsidRDefault="004E2110">
      <w:r>
        <w:rPr>
          <w:rFonts w:ascii="Times New Roman" w:hAnsi="Times New Roman"/>
          <w:b/>
          <w:color w:val="000000"/>
          <w:sz w:val="28"/>
        </w:rPr>
        <w:t xml:space="preserve">              Веневский район                                                       А.Г. Шубчинский</w:t>
      </w: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73D5" w:rsidRDefault="005673D5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                                       Приложение  </w:t>
      </w:r>
    </w:p>
    <w:p w:rsidR="005673D5" w:rsidRDefault="004E2110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5673D5" w:rsidRDefault="004E2110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5673D5" w:rsidRDefault="004E2110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от 18.05.2022 № 466</w:t>
      </w:r>
    </w:p>
    <w:p w:rsidR="005673D5" w:rsidRDefault="005673D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Приложение  </w:t>
      </w:r>
    </w:p>
    <w:p w:rsidR="005673D5" w:rsidRDefault="004E2110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5673D5" w:rsidRDefault="004E2110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5673D5" w:rsidRDefault="004E2110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5673D5" w:rsidRDefault="004E2110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20.12.2021 № 1067</w:t>
      </w:r>
    </w:p>
    <w:p w:rsidR="005673D5" w:rsidRDefault="005673D5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5673D5" w:rsidRDefault="004E2110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ПРОГРАММА</w:t>
      </w: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профилактике </w:t>
      </w:r>
      <w:bookmarkStart w:id="5" w:name="_Hlk778470762"/>
      <w:bookmarkStart w:id="6" w:name="_Hlk77671647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bookmarkStart w:id="7" w:name="_Hlk77686366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5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bookmarkEnd w:id="6"/>
      <w:bookmarkEnd w:id="7"/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муниципальном образовании Веневский район на  2022г.</w:t>
      </w:r>
    </w:p>
    <w:p w:rsidR="005673D5" w:rsidRDefault="005673D5">
      <w:pPr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673D5" w:rsidRDefault="004E2110">
      <w:pPr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Раздел 1. Общие положения</w:t>
      </w:r>
    </w:p>
    <w:p w:rsidR="005673D5" w:rsidRDefault="004E2110">
      <w:pPr>
        <w:spacing w:line="240" w:lineRule="auto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 программа по  профилактике рисков причинения вреда (ущерба) охраняемым законом ценностям при осуществлении 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 (далее – муниципальный контроль).</w:t>
      </w:r>
    </w:p>
    <w:p w:rsidR="005673D5" w:rsidRDefault="004E2110">
      <w:pPr>
        <w:spacing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Паспорт программы</w:t>
      </w:r>
    </w:p>
    <w:tbl>
      <w:tblPr>
        <w:tblW w:w="95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93" w:type="dxa"/>
          <w:bottom w:w="55" w:type="dxa"/>
        </w:tblCellMar>
        <w:tblLook w:val="04A0" w:firstRow="1" w:lastRow="0" w:firstColumn="1" w:lastColumn="0" w:noHBand="0" w:noVBand="1"/>
      </w:tblPr>
      <w:tblGrid>
        <w:gridCol w:w="2895"/>
        <w:gridCol w:w="6633"/>
      </w:tblGrid>
      <w:tr w:rsidR="005673D5"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 программы</w:t>
            </w:r>
          </w:p>
        </w:tc>
        <w:tc>
          <w:tcPr>
            <w:tcW w:w="6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 на 2022 год </w:t>
            </w:r>
          </w:p>
        </w:tc>
      </w:tr>
      <w:tr w:rsidR="005673D5"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Правовые основания разработки программы</w:t>
            </w:r>
          </w:p>
        </w:tc>
        <w:tc>
          <w:tcPr>
            <w:tcW w:w="6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31.07.2020 г. № 248-ФЗ «О государственном контроле (надзоре) и муниципальном контроле в Российской Федерации» </w:t>
            </w:r>
          </w:p>
        </w:tc>
      </w:tr>
      <w:tr w:rsidR="005673D5"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Разработчик программы</w:t>
            </w:r>
          </w:p>
        </w:tc>
        <w:tc>
          <w:tcPr>
            <w:tcW w:w="6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Отдел муниципального контроля администрации МО Веневский район </w:t>
            </w:r>
          </w:p>
        </w:tc>
      </w:tr>
      <w:tr w:rsidR="005673D5"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Цели программы</w:t>
            </w:r>
          </w:p>
        </w:tc>
        <w:tc>
          <w:tcPr>
            <w:tcW w:w="6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pStyle w:val="af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Предупреждение нарушений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Устранение существующих и потенциальных условий, причин и фактов, способных привести к нарушению обязательных требований и угрозе причинения, либо причинения вреда охраняемым ценностям.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моделей социально ответственного, добросовестного, правового поведения контролируемых лиц. 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прозрачности, результативности и эффективности системы контрольно-надзорной деятельности.</w:t>
            </w:r>
          </w:p>
        </w:tc>
      </w:tr>
      <w:tr w:rsidR="005673D5"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фактов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состояния подконтрольной среды и установление ее зависимости от видов, форм и интенсивности профилактических мероприятий.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изменения ценностного отношения контролируемых лиц к своему поведению, формирование позитивной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ответственности за свое поведение, поддержания мотивации к добросовестному поведению.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единого понимания обязательных требований у всех участников контрольно-надзорной деятельности.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Снижение издержек контрольно-надзорной деятельности и административной нагрузки на контролируемых лиц.</w:t>
            </w:r>
          </w:p>
          <w:p w:rsidR="005673D5" w:rsidRDefault="004E2110">
            <w:pPr>
              <w:pStyle w:val="af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5673D5"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Срок реализации программы</w:t>
            </w:r>
          </w:p>
        </w:tc>
        <w:tc>
          <w:tcPr>
            <w:tcW w:w="6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2022 год</w:t>
            </w:r>
          </w:p>
        </w:tc>
      </w:tr>
      <w:tr w:rsidR="005673D5">
        <w:tc>
          <w:tcPr>
            <w:tcW w:w="28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6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Увеличение числа контролируемых лиц, соблюдающих в своей деятельности обязательные требования законодательства в области исполнения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район.</w:t>
            </w:r>
          </w:p>
        </w:tc>
      </w:tr>
    </w:tbl>
    <w:p w:rsidR="005673D5" w:rsidRDefault="005673D5">
      <w:pPr>
        <w:pStyle w:val="ae"/>
        <w:spacing w:before="0" w:after="0"/>
        <w:jc w:val="center"/>
        <w:rPr>
          <w:b/>
          <w:color w:val="000000"/>
          <w:sz w:val="28"/>
          <w:szCs w:val="28"/>
          <w:highlight w:val="white"/>
        </w:rPr>
      </w:pP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Раздел 1. Анализ текущего состояния осущес</w:t>
      </w:r>
      <w:bookmarkStart w:id="8" w:name="_Hlk77686366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твления муниципального контроля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bookmarkEnd w:id="8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муниципальном образовании Веневский  район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5673D5" w:rsidRDefault="005673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673D5" w:rsidRDefault="004E2110">
      <w:pPr>
        <w:pStyle w:val="ConsPlusTitle"/>
        <w:ind w:firstLine="680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Муниципальный контроль осуществляется отделом муниципального контроля администрации муниципального образования Веневский район в соответствии с положением о вышеуказанном виде контроля.</w:t>
      </w:r>
    </w:p>
    <w:p w:rsidR="005673D5" w:rsidRDefault="004E2110">
      <w:pPr>
        <w:pStyle w:val="ConsPlusTitle"/>
        <w:ind w:firstLine="680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Объектами при осуществлении муниципального контроля являются:</w:t>
      </w:r>
    </w:p>
    <w:p w:rsidR="005673D5" w:rsidRDefault="004E2110">
      <w:pPr>
        <w:pStyle w:val="ConsPlusTitle"/>
        <w:ind w:firstLine="680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1) деятельность, действия (бездействие) </w:t>
      </w:r>
      <w:bookmarkStart w:id="9" w:name="_Hlk77851319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единой теплоснабжающей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lastRenderedPageBreak/>
        <w:t>организации</w:t>
      </w:r>
      <w:bookmarkEnd w:id="9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 по исполнению обязательств, в рамках которых должны соблюдаться обязательные требования, </w:t>
      </w:r>
      <w:bookmarkStart w:id="10" w:name="_Hlk77763353"/>
      <w:bookmarkStart w:id="11" w:name="_Hlk77763765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указанные в </w:t>
      </w:r>
      <w:bookmarkEnd w:id="10"/>
      <w:bookmarkEnd w:id="11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5673D5" w:rsidRDefault="004E2110">
      <w:pPr>
        <w:pStyle w:val="ConsPlusTitle"/>
        <w:tabs>
          <w:tab w:val="left" w:pos="792"/>
        </w:tabs>
        <w:ind w:firstLine="737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2)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12" w:name="_Hlk77851530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указанные в части 3 статьи 23.7 Федерального закона от 27.07.2010 № 190-ФЗ «О теплоснабжении»</w:t>
      </w:r>
      <w:bookmarkEnd w:id="12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;</w:t>
      </w:r>
    </w:p>
    <w:p w:rsidR="005673D5" w:rsidRDefault="004E2110">
      <w:pPr>
        <w:pStyle w:val="ConsPlusTitle"/>
        <w:tabs>
          <w:tab w:val="left" w:pos="792"/>
        </w:tabs>
        <w:ind w:firstLine="737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5673D5" w:rsidRDefault="004E2110">
      <w:pPr>
        <w:pStyle w:val="ConsPlusTitle"/>
        <w:ind w:firstLine="567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>Контролируемыми лицами при осуществлении муниципального контроля являются: единая теплоснабжающая организация.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о проведенных мероприятиях по контролю, мероприятиях по профилактике нарушений и их результаты: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Указанный вид контроля администрация муниципального образования Веневский район будет осуществлять с 01.01.2022 года, в связи с чем мероприятия по контролю, мероприятия по профилактике нарушений не проводились.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официальном сайте муниципального образования Веневский район в сети Интернет в текущем режиме размещаются перечни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актов, обобщение практики. 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 и оценка рисков причинения вреда охраняемым законом ценностям и (или) анализ и оценка причинения ущерба: </w:t>
      </w:r>
    </w:p>
    <w:p w:rsidR="005673D5" w:rsidRDefault="004E2110">
      <w:pPr>
        <w:pStyle w:val="ConsPlusTitle"/>
        <w:ind w:firstLine="709"/>
        <w:jc w:val="both"/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– Основными рисками причинения вреда охраняемым законом ценностям является не соблюдение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:rsidR="005673D5" w:rsidRDefault="004E2110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проблемами, на решение которых направлена Программа, являются: недостаточная информированность контролируемого лица об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5673D5" w:rsidRDefault="005673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673D5" w:rsidRDefault="004E211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Раздел 2. Цели и задачи реализации программы профилактики</w:t>
      </w:r>
    </w:p>
    <w:p w:rsidR="005673D5" w:rsidRDefault="005673D5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  <w:highlight w:val="white"/>
        </w:rPr>
      </w:pP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iCs/>
          <w:color w:val="000000"/>
          <w:spacing w:val="-4"/>
          <w:sz w:val="28"/>
          <w:szCs w:val="28"/>
          <w:highlight w:val="white"/>
        </w:rPr>
        <w:t xml:space="preserve">Цели Программы: 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– Предупреждение нарушений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Устранение существующих и потенциальных условий, причин и фактов, способных привести к нарушению обязательных требований и угрозе причинения, либо причинения вреда охраняемым ценностям.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Формирование моделей социально ответственного, добросовестного, правового поведения контролируемых лиц.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Повышение прозрачности, результативности и эффективности системы контрольно-надзорной деятельности.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Задачи Программы: 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Выявление фактов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Оценка состояния подконтрольной среды и установление ее зависимости от видов, форм и интенсивности профилактических мероприятий.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Создание условий для изменения ценностного отношения контролируемых лиц к своему поведению, формирование позитивной ответственности за свое поведение, поддержания мотивации к добросовестному поведению.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Формирование единого понимания обязательных требований у всех участников контрольно-надзорной деятельности.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lastRenderedPageBreak/>
        <w:t>– Снижение издержек контрольно-надзорной деятельности и административной нагрузки на контролируемых лиц.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– Обеспечение доступности информации об обязательных требованиях и необходимых мерах по их исполнению.</w:t>
      </w:r>
    </w:p>
    <w:p w:rsidR="005673D5" w:rsidRDefault="005673D5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white"/>
        </w:rPr>
        <w:t>Раздел 3. Перечень профилактических мероприятий,</w:t>
      </w:r>
    </w:p>
    <w:p w:rsidR="005673D5" w:rsidRDefault="004E2110">
      <w:pPr>
        <w:shd w:val="clear" w:color="auto" w:fill="FFFFFF"/>
        <w:tabs>
          <w:tab w:val="left" w:pos="8222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highlight w:val="white"/>
        </w:rPr>
        <w:t>сроки (периодичность) их проведения</w:t>
      </w:r>
    </w:p>
    <w:p w:rsidR="005673D5" w:rsidRDefault="005673D5">
      <w:pPr>
        <w:shd w:val="clear" w:color="auto" w:fill="FFFFFF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highlight w:val="white"/>
        </w:rPr>
      </w:pP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Профилактические мероприятия представляют собой комплекс мер, направленных на достижение целей и решение основных задач настоящей Программы. 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 муниципального образования Веневский район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 проводит профилактические мероприятия в соответствии с перечнем основных профилактических мероприятий Программы на 2022</w:t>
      </w:r>
    </w:p>
    <w:p w:rsidR="005673D5" w:rsidRDefault="00567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основных профилактических мероприятий Программы на 2022 </w:t>
      </w:r>
    </w:p>
    <w:p w:rsidR="005673D5" w:rsidRDefault="004E211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</w:p>
    <w:tbl>
      <w:tblPr>
        <w:tblW w:w="9468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1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2629"/>
        <w:gridCol w:w="3746"/>
        <w:gridCol w:w="2376"/>
      </w:tblGrid>
      <w:tr w:rsidR="005673D5">
        <w:trPr>
          <w:tblHeader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Профилактические мероприятия</w:t>
            </w: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</w:t>
            </w: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профилактического мероприятия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Периодичность проведения</w:t>
            </w:r>
          </w:p>
        </w:tc>
      </w:tr>
      <w:tr w:rsidR="005673D5">
        <w:trPr>
          <w:trHeight w:val="2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  <w:vAlign w:val="center"/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5673D5">
        <w:tc>
          <w:tcPr>
            <w:tcW w:w="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Информирование контролируемых лиц и иных заинтересованных лиц по вопросам соблюдения обязательных требований 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Веневский район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Размещение на официальном сайте муниципального образования Веневский район актуальной информации: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течение 2022 </w:t>
            </w:r>
          </w:p>
        </w:tc>
      </w:tr>
      <w:tr w:rsidR="005673D5"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тексты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район;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поддерживать в актуальном состоянии</w:t>
            </w:r>
          </w:p>
        </w:tc>
      </w:tr>
      <w:tr w:rsidR="005673D5"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сведения об изменениях, внесенных в нормативные правовые акты, регулирующие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район, о сроках и порядке их вступления в силу;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5673D5"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152CD">
            <w:pPr>
              <w:widowControl w:val="0"/>
              <w:spacing w:after="0" w:line="240" w:lineRule="auto"/>
              <w:jc w:val="both"/>
            </w:pPr>
            <w:hyperlink r:id="rId7">
              <w:r w:rsidR="004E2110">
                <w:rPr>
                  <w:rStyle w:val="-"/>
                  <w:rFonts w:ascii="Times New Roman" w:hAnsi="Times New Roman"/>
                  <w:color w:val="000000"/>
                  <w:sz w:val="28"/>
                  <w:szCs w:val="28"/>
                  <w:highlight w:val="white"/>
                </w:rPr>
                <w:t>перечень</w:t>
              </w:r>
            </w:hyperlink>
            <w:r w:rsidR="004E2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="004E21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поддерживать в актуальном состоянии</w:t>
            </w:r>
          </w:p>
        </w:tc>
      </w:tr>
      <w:tr w:rsidR="005673D5">
        <w:trPr>
          <w:trHeight w:val="1101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2022 г, поддерживать в актуальном состоянии</w:t>
            </w:r>
          </w:p>
        </w:tc>
      </w:tr>
      <w:tr w:rsidR="005673D5">
        <w:trPr>
          <w:trHeight w:val="886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673D5" w:rsidRDefault="00567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2022 г, поддерживать в актуальном состоянии</w:t>
            </w:r>
          </w:p>
        </w:tc>
      </w:tr>
      <w:tr w:rsidR="005673D5">
        <w:trPr>
          <w:trHeight w:val="1259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срок до 3 дней со дня утверждения доклада</w:t>
            </w: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(с периодичностью, не реже одного раза в год)</w:t>
            </w:r>
          </w:p>
        </w:tc>
      </w:tr>
      <w:tr w:rsidR="005673D5">
        <w:trPr>
          <w:trHeight w:val="359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доклад об осуществлении муниципального контроля.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  <w:highlight w:val="white"/>
              </w:rPr>
              <w:t>до 15 марта года, следующего за отчетным годом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следующего за отчетным</w:t>
            </w:r>
          </w:p>
        </w:tc>
      </w:tr>
      <w:tr w:rsidR="005673D5">
        <w:trPr>
          <w:trHeight w:val="1114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Публикации на официальном сайте муниципального образования Веневский район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2022 г.</w:t>
            </w:r>
          </w:p>
        </w:tc>
      </w:tr>
      <w:tr w:rsidR="005673D5">
        <w:trPr>
          <w:trHeight w:val="1114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Программа по профилактике рисков причинения вреда (ущерба) охраняемым законом ценностям при осуществлении муниципального контролю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район на 2023 год:</w:t>
            </w:r>
          </w:p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 разработка Программы (Плана) профилактики (для общественного обсуждения);</w:t>
            </w:r>
          </w:p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 утверждение Программы (Плана) профилактики</w:t>
            </w:r>
          </w:p>
          <w:p w:rsidR="005673D5" w:rsidRDefault="00567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 публикация Программы (Плана) профилактики</w:t>
            </w:r>
          </w:p>
          <w:p w:rsidR="005673D5" w:rsidRDefault="00567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позднее 1 октября 2022 г.</w:t>
            </w: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позднее</w:t>
            </w: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 декабря 2022 г.</w:t>
            </w: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5 дней со дня утверждения (утвержденной Программы)</w:t>
            </w:r>
          </w:p>
        </w:tc>
      </w:tr>
      <w:tr w:rsidR="005673D5">
        <w:trPr>
          <w:trHeight w:val="1114"/>
        </w:trPr>
        <w:tc>
          <w:tcPr>
            <w:tcW w:w="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письменные разъяснения, подписанные уполномоченным должностным лицом.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необходимости (в случае осуществления консультирования по однотипным обращениям контролируемых лиц)</w:t>
            </w:r>
          </w:p>
          <w:p w:rsidR="005673D5" w:rsidRDefault="005673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5673D5">
        <w:trPr>
          <w:trHeight w:val="24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Консультирование должностным лицом контрольного (надзорного) органа</w:t>
            </w:r>
          </w:p>
          <w:p w:rsidR="005673D5" w:rsidRDefault="005673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 вопросам, связанным с организацией и осуществлением муниципального контроля за исполнением единой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теплоснабжающей организацией обязательств по строительству, реконструкции и (или) модернизации объектов теплоснабжения в муниципальном образовании Веневский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 в отношении контролируемых лиц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 обращениям контролируемых лиц и их представителей, поступившим в течение 2022 года</w:t>
            </w:r>
          </w:p>
        </w:tc>
      </w:tr>
      <w:tr w:rsidR="005673D5">
        <w:trPr>
          <w:trHeight w:val="220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наличии сведений о готовящихся нарушениях, о признаках возможных нарушений либо о непосредственных нарушениях обязательных требований,</w:t>
            </w:r>
          </w:p>
          <w:p w:rsidR="005673D5" w:rsidRDefault="004E21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соответствии с Российским законодательством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7" w:type="dxa"/>
            </w:tcMar>
          </w:tcPr>
          <w:p w:rsidR="005673D5" w:rsidRDefault="004E2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</w:tbl>
    <w:p w:rsidR="005673D5" w:rsidRDefault="005673D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5673D5" w:rsidRDefault="005673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673D5" w:rsidRDefault="005673D5">
      <w:pPr>
        <w:spacing w:after="0" w:line="240" w:lineRule="auto"/>
        <w:jc w:val="center"/>
      </w:pPr>
    </w:p>
    <w:sectPr w:rsidR="005673D5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panose1 w:val="020B0604030202020204"/>
    <w:charset w:val="CC"/>
    <w:family w:val="swiss"/>
    <w:pitch w:val="variable"/>
    <w:sig w:usb0="800002FF" w:usb1="0000084A" w:usb2="00000000" w:usb3="00000000" w:csb0="0000001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5C8"/>
    <w:multiLevelType w:val="multilevel"/>
    <w:tmpl w:val="2408C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852705"/>
    <w:multiLevelType w:val="multilevel"/>
    <w:tmpl w:val="475CE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94DC6"/>
    <w:multiLevelType w:val="multilevel"/>
    <w:tmpl w:val="EE723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D5"/>
    <w:rsid w:val="004152CD"/>
    <w:rsid w:val="004E2110"/>
    <w:rsid w:val="005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rFonts w:eastAsiaTheme="minorHAnsi" w:hAnsiTheme="minorHAnsi" w:cs="Calibri"/>
      <w:b/>
      <w:color w:val="00000A"/>
      <w:sz w:val="22"/>
    </w:r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rFonts w:eastAsiaTheme="minorHAnsi" w:hAnsiTheme="minorHAnsi" w:cs="Calibri"/>
      <w:b/>
      <w:color w:val="00000A"/>
      <w:sz w:val="22"/>
    </w:r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29.05.2019)(с изм. и доп., вступ. в силу с 09.06.2019)</vt:lpstr>
    </vt:vector>
  </TitlesOfParts>
  <Company>КонсультантПлюс Версия 4018.00.51</Company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29.05.2019)(с изм. и доп., вступ. в силу с 09.06.2019)</dc:title>
  <dc:creator>it3</dc:creator>
  <cp:lastModifiedBy>it3</cp:lastModifiedBy>
  <cp:revision>2</cp:revision>
  <cp:lastPrinted>2021-12-20T16:43:00Z</cp:lastPrinted>
  <dcterms:created xsi:type="dcterms:W3CDTF">2022-05-30T07:55:00Z</dcterms:created>
  <dcterms:modified xsi:type="dcterms:W3CDTF">2022-05-30T07:55:00Z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