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77" w:rsidRDefault="00426877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577" w:type="dxa"/>
        <w:tblInd w:w="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7"/>
        <w:gridCol w:w="4200"/>
      </w:tblGrid>
      <w:tr w:rsidR="00426877">
        <w:tblPrEx>
          <w:tblCellMar>
            <w:top w:w="0" w:type="dxa"/>
            <w:bottom w:w="0" w:type="dxa"/>
          </w:tblCellMar>
        </w:tblPrEx>
        <w:tc>
          <w:tcPr>
            <w:tcW w:w="53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877" w:rsidRDefault="00426877">
            <w:pPr>
              <w:pStyle w:val="ConsPlusTitl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877" w:rsidRDefault="00C72781">
            <w:pPr>
              <w:pStyle w:val="ConsPlusTitle"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Приложение №1</w:t>
            </w:r>
          </w:p>
          <w:p w:rsidR="00426877" w:rsidRDefault="00C72781">
            <w:pPr>
              <w:pStyle w:val="ConsPlusTitle"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распоряжению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Веневский</w:t>
            </w:r>
            <w:proofErr w:type="spellEnd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район</w:t>
            </w:r>
          </w:p>
          <w:p w:rsidR="00426877" w:rsidRDefault="00C72781">
            <w:pPr>
              <w:pStyle w:val="ConsPlusTitle"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от 02.09.2024 № 189-р</w:t>
            </w:r>
          </w:p>
          <w:p w:rsidR="00426877" w:rsidRDefault="00426877">
            <w:pPr>
              <w:pStyle w:val="Textbody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26877" w:rsidRDefault="00426877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26877" w:rsidRDefault="00426877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26877" w:rsidRDefault="00C7278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426877" w:rsidRDefault="00C72781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отраслевых показателей, применяемых для оценки эффективности </w:t>
      </w:r>
      <w:r>
        <w:rPr>
          <w:rFonts w:ascii="Times New Roman" w:hAnsi="Times New Roman"/>
          <w:sz w:val="28"/>
          <w:szCs w:val="28"/>
        </w:rPr>
        <w:t xml:space="preserve">деятельности глав администраций сельских поселений, входящих в состав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426877" w:rsidRDefault="00426877">
      <w:pPr>
        <w:pStyle w:val="Standard"/>
        <w:rPr>
          <w:rFonts w:ascii="Times New Roman" w:hAnsi="Times New Roman"/>
          <w:sz w:val="28"/>
          <w:szCs w:val="28"/>
        </w:rPr>
      </w:pPr>
    </w:p>
    <w:p w:rsidR="00426877" w:rsidRDefault="00426877">
      <w:pPr>
        <w:pStyle w:val="Standard"/>
        <w:rPr>
          <w:rFonts w:ascii="Times New Roman" w:hAnsi="Times New Roman"/>
          <w:sz w:val="12"/>
          <w:szCs w:val="12"/>
        </w:rPr>
      </w:pPr>
    </w:p>
    <w:tbl>
      <w:tblPr>
        <w:tblW w:w="9577" w:type="dxa"/>
        <w:tblInd w:w="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069"/>
        <w:gridCol w:w="2492"/>
        <w:gridCol w:w="1697"/>
        <w:gridCol w:w="1765"/>
      </w:tblGrid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№ п\</w:t>
            </w: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Методика формирования показателя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Минимальное значение ЕДП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Максимальное значение ЕДП</w:t>
            </w:r>
          </w:p>
        </w:tc>
      </w:tr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поступления на</w:t>
            </w:r>
            <w:r>
              <w:rPr>
                <w:rFonts w:ascii="Times New Roman" w:hAnsi="Times New Roman"/>
              </w:rPr>
              <w:t>логовых и неналоговых доходов в бюджет сельского поселения в отчетном финансовом году к предшествующему финансовому году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V=A/B∙100%, где V- размер показателя;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- за отчетный год;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за предшествующий год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35%</w:t>
            </w:r>
          </w:p>
        </w:tc>
      </w:tr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Динамика поступивших доходов от </w:t>
            </w:r>
            <w:r>
              <w:rPr>
                <w:rFonts w:ascii="Times New Roman" w:hAnsi="Times New Roman"/>
              </w:rPr>
              <w:t>реализации невостребованных земельных долей и выморочного имущества в отчетном году по отношению к предшествующему периоду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V=A/B∙100%, где V- размер показателя;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- доход за отчетный год;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доход за предшествующий год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30%</w:t>
            </w:r>
          </w:p>
        </w:tc>
      </w:tr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проектов с </w:t>
            </w:r>
            <w:r>
              <w:rPr>
                <w:rFonts w:ascii="Times New Roman" w:hAnsi="Times New Roman"/>
              </w:rPr>
              <w:t>участием населения сельского поселения, направленных для конкурсного отбора инициативных проектов (конкурс инициативных проектов сельских старост и ТОС, Народный бюджет, Конкурс Президентских грантов и т.п.)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V=A/B∙100%, где V- размер показателя;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 - колич</w:t>
            </w:r>
            <w:r>
              <w:rPr>
                <w:rFonts w:ascii="Times New Roman" w:hAnsi="Times New Roman"/>
              </w:rPr>
              <w:t>ество поданных заявок на участие в проектах за отчетный год;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количество поданных заявок на участие в проектах за предшествующий год.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40%</w:t>
            </w:r>
          </w:p>
        </w:tc>
      </w:tr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снижения возгорания сухой растительности и мусора в отчетном году к предшествующему году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V=A/B∙100%,</w:t>
            </w:r>
            <w:r>
              <w:rPr>
                <w:rFonts w:ascii="Times New Roman" w:hAnsi="Times New Roman"/>
              </w:rPr>
              <w:t xml:space="preserve"> где V- размер показателя;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- количество возгораний за отчетный год;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количество </w:t>
            </w:r>
            <w:r>
              <w:rPr>
                <w:rFonts w:ascii="Times New Roman" w:hAnsi="Times New Roman"/>
              </w:rPr>
              <w:lastRenderedPageBreak/>
              <w:t>возгораний за предшествующий год.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0%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40%</w:t>
            </w:r>
          </w:p>
        </w:tc>
      </w:tr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детских игровых площадок, находящихся в нормативном состоянии</w:t>
            </w: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V=A/B∙100%, где V- размер показателя;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- количество детских</w:t>
            </w:r>
            <w:r>
              <w:rPr>
                <w:rFonts w:ascii="Times New Roman" w:hAnsi="Times New Roman"/>
              </w:rPr>
              <w:t xml:space="preserve"> игровых площадок в нормативном состоянии за отчетный год;</w:t>
            </w:r>
          </w:p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количество детских игровых площадок в нормативном состоянии за предшествующий год.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40%</w:t>
            </w:r>
          </w:p>
        </w:tc>
      </w:tr>
      <w:tr w:rsidR="00426877">
        <w:tblPrEx>
          <w:tblCellMar>
            <w:top w:w="0" w:type="dxa"/>
            <w:bottom w:w="0" w:type="dxa"/>
          </w:tblCellMar>
        </w:tblPrEx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spacing w:befor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</w:t>
            </w:r>
          </w:p>
          <w:p w:rsidR="00426877" w:rsidRDefault="00426877">
            <w:pPr>
              <w:pStyle w:val="Standard"/>
              <w:spacing w:before="314"/>
              <w:rPr>
                <w:rFonts w:ascii="Times New Roman" w:hAnsi="Times New Roman"/>
              </w:rPr>
            </w:pPr>
          </w:p>
          <w:p w:rsidR="00426877" w:rsidRDefault="00426877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2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spacing w:before="120" w:after="120"/>
              <w:ind w:left="120" w:righ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V=A/B∙100%, где V- размер</w:t>
            </w:r>
            <w:r>
              <w:rPr>
                <w:rFonts w:ascii="Times New Roman" w:hAnsi="Times New Roman"/>
              </w:rPr>
              <w:t xml:space="preserve"> показателя;</w:t>
            </w:r>
          </w:p>
          <w:p w:rsidR="00426877" w:rsidRDefault="00C72781">
            <w:pPr>
              <w:pStyle w:val="Standard"/>
              <w:spacing w:before="120" w:after="120"/>
              <w:ind w:left="120" w:righ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– Доля граждан, систематически занимающихся физической культурой и спортом за отчетный год;</w:t>
            </w:r>
          </w:p>
          <w:p w:rsidR="00426877" w:rsidRDefault="00C72781">
            <w:pPr>
              <w:pStyle w:val="Standard"/>
              <w:spacing w:before="120" w:after="120"/>
              <w:ind w:left="120" w:right="12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Доля граждан, систематически занимающихся физической культурой и спортом за предшествующий год.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77" w:rsidRDefault="00C7278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25%</w:t>
            </w:r>
          </w:p>
        </w:tc>
      </w:tr>
    </w:tbl>
    <w:p w:rsidR="00426877" w:rsidRDefault="00426877">
      <w:pPr>
        <w:pStyle w:val="Standard"/>
        <w:rPr>
          <w:rFonts w:ascii="Times New Roman" w:hAnsi="Times New Roman"/>
          <w:sz w:val="28"/>
          <w:szCs w:val="28"/>
        </w:rPr>
      </w:pPr>
    </w:p>
    <w:sectPr w:rsidR="00426877">
      <w:pgSz w:w="11906" w:h="16838"/>
      <w:pgMar w:top="1134" w:right="794" w:bottom="1134" w:left="13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781" w:rsidRDefault="00C72781">
      <w:r>
        <w:separator/>
      </w:r>
    </w:p>
  </w:endnote>
  <w:endnote w:type="continuationSeparator" w:id="0">
    <w:p w:rsidR="00C72781" w:rsidRDefault="00C7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781" w:rsidRDefault="00C72781">
      <w:r>
        <w:rPr>
          <w:color w:val="000000"/>
        </w:rPr>
        <w:separator/>
      </w:r>
    </w:p>
  </w:footnote>
  <w:footnote w:type="continuationSeparator" w:id="0">
    <w:p w:rsidR="00C72781" w:rsidRDefault="00C72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26877"/>
    <w:rsid w:val="001161A6"/>
    <w:rsid w:val="00426877"/>
    <w:rsid w:val="00C7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2</cp:revision>
  <dcterms:created xsi:type="dcterms:W3CDTF">2024-09-18T08:15:00Z</dcterms:created>
  <dcterms:modified xsi:type="dcterms:W3CDTF">2024-09-18T08:15:00Z</dcterms:modified>
</cp:coreProperties>
</file>