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0A0" w:firstRow="1" w:lastRow="0" w:firstColumn="1" w:lastColumn="0" w:noHBand="0" w:noVBand="0"/>
      </w:tblPr>
      <w:tblGrid>
        <w:gridCol w:w="4786"/>
        <w:gridCol w:w="4784"/>
      </w:tblGrid>
      <w:tr w:rsidR="004F2EDD" w:rsidTr="000E2FC3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4F2EDD" w:rsidTr="000E2FC3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4F2EDD" w:rsidTr="000E2FC3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F2EDD" w:rsidRDefault="004F2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2EDD" w:rsidRDefault="004F2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2EDD" w:rsidTr="000E2FC3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РАСПОРЯЖЕНИЕ</w:t>
            </w:r>
          </w:p>
        </w:tc>
      </w:tr>
      <w:tr w:rsidR="004F2EDD" w:rsidTr="000E2FC3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2EDD" w:rsidTr="000E2FC3">
        <w:trPr>
          <w:jc w:val="right"/>
        </w:trPr>
        <w:tc>
          <w:tcPr>
            <w:tcW w:w="4786" w:type="dxa"/>
            <w:shd w:val="clear" w:color="auto" w:fill="auto"/>
            <w:vAlign w:val="center"/>
          </w:tcPr>
          <w:p w:rsidR="004F2EDD" w:rsidRPr="00340F1F" w:rsidRDefault="000E2FC3" w:rsidP="00340F1F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="00340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340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23.09.2022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4F2EDD" w:rsidRPr="00340F1F" w:rsidRDefault="000E2FC3" w:rsidP="00340F1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0A04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40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225-р</w:t>
            </w:r>
          </w:p>
        </w:tc>
      </w:tr>
    </w:tbl>
    <w:p w:rsidR="004F2EDD" w:rsidRDefault="004F2EDD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EDD" w:rsidRDefault="000E2F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одобрении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прогноза социально-экономического развития муниципального образования Веневский район </w:t>
      </w:r>
    </w:p>
    <w:p w:rsidR="004F2EDD" w:rsidRDefault="000E2FC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4F2EDD" w:rsidRDefault="004F2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DD" w:rsidRDefault="000E2FC3">
      <w:pPr>
        <w:ind w:firstLine="66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28.06.2014 №172-ФЗ «О стратегическом планировании в Российской Федерации», постановлением  администрации муниципального образования Веневский район от 15.01.2020  №33 «Об утверждении порядка разработки (корректировки)  прогноза социально-экономического развития муниципального образования Веневский район на среднесрочный период», распоряжением администрации муниципального образования Веневский район от </w:t>
      </w:r>
      <w:r w:rsidRPr="000E2FC3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E2F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.03.2022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0E2F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59</w:t>
      </w:r>
      <w:r>
        <w:rPr>
          <w:rFonts w:ascii="Times New Roman" w:hAnsi="Times New Roman" w:cs="Times New Roman"/>
          <w:color w:val="000000"/>
          <w:sz w:val="28"/>
          <w:szCs w:val="28"/>
        </w:rPr>
        <w:t>-р «Об утверждении плана-графика составления проекта бюджета муниципального образования Веневский район на 202</w:t>
      </w:r>
      <w:r w:rsidRPr="000E2F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</w:t>
      </w:r>
      <w:r w:rsidRPr="000E2F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Pr="000E2F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, на основании статьи 61 Устава муниципального образования Веневский район:</w:t>
      </w:r>
    </w:p>
    <w:p w:rsidR="004F2EDD" w:rsidRDefault="000E2FC3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Одобрить прогноз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муниципального образования Веневский район </w:t>
      </w:r>
      <w:r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 (приложение).</w:t>
      </w:r>
    </w:p>
    <w:p w:rsidR="004F2EDD" w:rsidRDefault="000E2FC3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 Признать утратившим силу распоряжение администрации муниципального образования Веневский район от</w:t>
      </w:r>
      <w:r w:rsidRPr="000E2FC3">
        <w:rPr>
          <w:rFonts w:ascii="Times New Roman" w:hAnsi="Times New Roman" w:cs="Times New Roman"/>
          <w:sz w:val="28"/>
          <w:szCs w:val="28"/>
        </w:rPr>
        <w:t xml:space="preserve"> 27.09.2021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FC3">
        <w:rPr>
          <w:rFonts w:ascii="Times New Roman" w:hAnsi="Times New Roman" w:cs="Times New Roman"/>
          <w:sz w:val="28"/>
          <w:szCs w:val="28"/>
        </w:rPr>
        <w:t>569</w:t>
      </w:r>
      <w:r>
        <w:rPr>
          <w:rFonts w:ascii="Times New Roman" w:hAnsi="Times New Roman" w:cs="Times New Roman"/>
          <w:sz w:val="28"/>
          <w:szCs w:val="28"/>
        </w:rPr>
        <w:t>-р «Об одобрении прогноза социально-экономического развития муниципального образования Веневский район на 202</w:t>
      </w:r>
      <w:r w:rsidRPr="000E2F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Pr="000E2F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0E2F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F2EDD" w:rsidRDefault="000E2FC3">
      <w:pPr>
        <w:pStyle w:val="ConsPlusNormal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распоряжение в газете «Вести Веневского района».</w:t>
      </w:r>
    </w:p>
    <w:p w:rsidR="004F2EDD" w:rsidRDefault="000E2FC3">
      <w:pPr>
        <w:ind w:firstLine="66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по МСУ и информационным технологиям администрации муниципального образования Веневский район (Зайцева О.Ю.)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настоящее распоряжение в сети Интернет на официальном сайте администрации муниципального образования Веневский район.</w:t>
      </w:r>
    </w:p>
    <w:p w:rsidR="004F2EDD" w:rsidRDefault="000E2FC3">
      <w:pPr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Распоряжение вступает в силу со дня  подписания.</w:t>
      </w:r>
    </w:p>
    <w:p w:rsidR="004F2EDD" w:rsidRDefault="004F2EDD">
      <w:pPr>
        <w:spacing w:line="276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</w:p>
    <w:p w:rsidR="004F2EDD" w:rsidRDefault="004F2EDD">
      <w:pPr>
        <w:spacing w:line="276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206"/>
        <w:gridCol w:w="2159"/>
        <w:gridCol w:w="3205"/>
      </w:tblGrid>
      <w:tr w:rsidR="004F2EDD">
        <w:tc>
          <w:tcPr>
            <w:tcW w:w="4206" w:type="dxa"/>
            <w:shd w:val="clear" w:color="auto" w:fill="auto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159" w:type="dxa"/>
            <w:shd w:val="clear" w:color="auto" w:fill="auto"/>
          </w:tcPr>
          <w:p w:rsidR="004F2EDD" w:rsidRDefault="004F2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4F2EDD" w:rsidRDefault="004F2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EDD" w:rsidRDefault="004F2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EDD" w:rsidRDefault="000E2FC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Шубчинский</w:t>
            </w:r>
            <w:bookmarkStart w:id="1" w:name="sub_2"/>
            <w:bookmarkEnd w:id="1"/>
            <w:proofErr w:type="spellEnd"/>
          </w:p>
        </w:tc>
      </w:tr>
    </w:tbl>
    <w:p w:rsidR="004F2EDD" w:rsidRDefault="004F2EDD">
      <w:pPr>
        <w:jc w:val="right"/>
      </w:pPr>
    </w:p>
    <w:tbl>
      <w:tblPr>
        <w:tblpPr w:leftFromText="180" w:rightFromText="180" w:vertAnchor="text" w:horzAnchor="margin" w:tblpXSpec="right" w:tblpY="-262"/>
        <w:tblW w:w="4495" w:type="dxa"/>
        <w:jc w:val="right"/>
        <w:tblLayout w:type="fixed"/>
        <w:tblLook w:val="04A0" w:firstRow="1" w:lastRow="0" w:firstColumn="1" w:lastColumn="0" w:noHBand="0" w:noVBand="1"/>
      </w:tblPr>
      <w:tblGrid>
        <w:gridCol w:w="4495"/>
      </w:tblGrid>
      <w:tr w:rsidR="004F2EDD">
        <w:trPr>
          <w:trHeight w:val="2129"/>
          <w:jc w:val="right"/>
        </w:trPr>
        <w:tc>
          <w:tcPr>
            <w:tcW w:w="4495" w:type="dxa"/>
            <w:shd w:val="clear" w:color="auto" w:fill="auto"/>
          </w:tcPr>
          <w:p w:rsidR="004F2EDD" w:rsidRDefault="000E2FC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F2EDD" w:rsidRDefault="000E2FC3">
            <w:pPr>
              <w:ind w:right="-116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 администрации</w:t>
            </w:r>
          </w:p>
          <w:p w:rsidR="004F2EDD" w:rsidRDefault="000E2FC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4F2EDD" w:rsidRDefault="000E2FC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Веневский район</w:t>
            </w:r>
          </w:p>
          <w:p w:rsidR="004F2EDD" w:rsidRDefault="000E2FC3" w:rsidP="00340F1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0F1F"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40F1F">
              <w:rPr>
                <w:rFonts w:ascii="Times New Roman" w:hAnsi="Times New Roman" w:cs="Times New Roman"/>
                <w:sz w:val="28"/>
                <w:szCs w:val="28"/>
              </w:rPr>
              <w:t>225-р</w:t>
            </w:r>
          </w:p>
        </w:tc>
      </w:tr>
    </w:tbl>
    <w:p w:rsidR="004F2EDD" w:rsidRDefault="004F2EDD">
      <w:pPr>
        <w:jc w:val="right"/>
      </w:pPr>
    </w:p>
    <w:p w:rsidR="004F2EDD" w:rsidRDefault="004F2EDD">
      <w:pPr>
        <w:jc w:val="right"/>
      </w:pPr>
    </w:p>
    <w:p w:rsidR="004F2EDD" w:rsidRDefault="004F2EDD">
      <w:pPr>
        <w:jc w:val="right"/>
      </w:pPr>
    </w:p>
    <w:p w:rsidR="004F2EDD" w:rsidRDefault="004F2EDD">
      <w:pPr>
        <w:jc w:val="right"/>
      </w:pPr>
    </w:p>
    <w:p w:rsidR="004F2EDD" w:rsidRDefault="004F2EDD">
      <w:pPr>
        <w:jc w:val="right"/>
      </w:pPr>
    </w:p>
    <w:p w:rsidR="004F2EDD" w:rsidRDefault="004F2EDD">
      <w:pPr>
        <w:jc w:val="right"/>
      </w:pPr>
    </w:p>
    <w:p w:rsidR="004F2EDD" w:rsidRDefault="004F2EDD">
      <w:pPr>
        <w:jc w:val="right"/>
      </w:pPr>
    </w:p>
    <w:p w:rsidR="004F2EDD" w:rsidRDefault="004F2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EDD" w:rsidRDefault="004F2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EDD" w:rsidRDefault="000E2F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4F2EDD" w:rsidRDefault="000E2FC3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социально-экономического развития муниципального образования Веневский район </w:t>
      </w:r>
      <w:r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4F2EDD" w:rsidRDefault="004F2EDD">
      <w:pPr>
        <w:jc w:val="center"/>
        <w:rPr>
          <w:b/>
        </w:rPr>
      </w:pPr>
    </w:p>
    <w:p w:rsidR="004F2EDD" w:rsidRDefault="000E2FC3">
      <w:pPr>
        <w:spacing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2EDD" w:rsidRDefault="004F2E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EDD" w:rsidRDefault="000E2FC3">
      <w:pPr>
        <w:pStyle w:val="ab"/>
        <w:tabs>
          <w:tab w:val="left" w:pos="1260"/>
        </w:tabs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Прогноз социально-экономического развития муниципального образования Веневский район на 202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и период до 202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разработан в соответствии с законодательством Российской Федерации, законодательством Тульской области и нормативно — правовыми актами муниципального образования Веневский район.</w:t>
      </w:r>
    </w:p>
    <w:p w:rsidR="004F2EDD" w:rsidRDefault="000E2FC3">
      <w:pPr>
        <w:pStyle w:val="ab"/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Правовой основой для его разработки явились:</w:t>
      </w:r>
    </w:p>
    <w:p w:rsidR="004F2EDD" w:rsidRDefault="000E2FC3">
      <w:pPr>
        <w:pStyle w:val="ab"/>
        <w:tabs>
          <w:tab w:val="left" w:pos="1260"/>
        </w:tabs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 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от 28.06.2014 №172-ФЗ «О стратегическом планировании в Российской Федерации»;</w:t>
      </w:r>
    </w:p>
    <w:p w:rsidR="004F2EDD" w:rsidRDefault="000E2FC3">
      <w:pPr>
        <w:pStyle w:val="ab"/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 Постановление администрации муниципального образования Веневский район от 15.01.2020 №33 «Об утверждении Порядка разработки (корректировки) прогноза социально-экономического развития муниципального образования Веневский район на среднесрочный период»;</w:t>
      </w:r>
    </w:p>
    <w:p w:rsidR="004F2EDD" w:rsidRDefault="000E2FC3">
      <w:pPr>
        <w:pStyle w:val="ab"/>
        <w:tabs>
          <w:tab w:val="left" w:pos="1260"/>
        </w:tabs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 Распоряжение администрации муниципального образования Веневский район от </w:t>
      </w:r>
      <w:r w:rsidRPr="000E2FC3">
        <w:rPr>
          <w:rFonts w:ascii="Times New Roman" w:hAnsi="Times New Roman"/>
          <w:color w:val="000000"/>
          <w:sz w:val="28"/>
          <w:szCs w:val="28"/>
        </w:rPr>
        <w:t>14</w:t>
      </w:r>
      <w:r w:rsidRPr="000E2F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.03.2022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0E2F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59</w:t>
      </w:r>
      <w:r>
        <w:rPr>
          <w:rFonts w:ascii="Times New Roman" w:hAnsi="Times New Roman"/>
          <w:color w:val="000000"/>
          <w:sz w:val="28"/>
          <w:szCs w:val="28"/>
        </w:rPr>
        <w:t xml:space="preserve">-р «Об утверждении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плана-графика составления проекта бюджета муниципального образования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Веневский район на 202</w:t>
      </w:r>
      <w:r w:rsidRPr="000E2F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Pr="000E2F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Pr="000E2F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годов»;</w:t>
      </w:r>
    </w:p>
    <w:p w:rsidR="004F2EDD" w:rsidRDefault="000E2FC3">
      <w:pPr>
        <w:pStyle w:val="ab"/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статья 61 Устава муниципального образования Веневский район.</w:t>
      </w:r>
    </w:p>
    <w:p w:rsidR="004F2EDD" w:rsidRDefault="000E2FC3">
      <w:pPr>
        <w:pStyle w:val="ab"/>
        <w:tabs>
          <w:tab w:val="left" w:pos="1260"/>
        </w:tabs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формировании прогнозных показателей использовались сценарные условия функционирования экономики РФ, основные параметры предварительного прогноза социально-экономического развития Тульской области до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года. </w:t>
      </w:r>
    </w:p>
    <w:p w:rsidR="004F2EDD" w:rsidRDefault="000E2FC3">
      <w:pPr>
        <w:pStyle w:val="ab"/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Источниками информации для анализа и прогноза показателей, характеризующих ситуацию в экономике района, явились данные статистической отчетности, данные оперативных наблюдений розничных цен и изменений тарифов. </w:t>
      </w:r>
    </w:p>
    <w:p w:rsidR="004F2EDD" w:rsidRDefault="000E2FC3">
      <w:pPr>
        <w:tabs>
          <w:tab w:val="left" w:pos="1260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Прогнозные расчеты осуществлялись с учетом особенностей отраслевой структуры Веневского района.</w:t>
      </w:r>
    </w:p>
    <w:p w:rsidR="004F2EDD" w:rsidRDefault="004F2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D" w:rsidRDefault="004F2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D" w:rsidRDefault="004F2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D" w:rsidRDefault="000E2FC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 Оценка достигнутого уровня </w:t>
      </w:r>
    </w:p>
    <w:p w:rsidR="004F2EDD" w:rsidRDefault="000E2FC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Веневского района</w:t>
      </w:r>
    </w:p>
    <w:p w:rsidR="004F2EDD" w:rsidRDefault="004F2ED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EDD" w:rsidRDefault="000E2FC3">
      <w:pPr>
        <w:widowControl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Объем отгруженных промышленных товаров собственного производства по полному кругу организаций-производителей в 202</w:t>
      </w:r>
      <w:r w:rsidRPr="000E2F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сформировался в сумме</w:t>
      </w:r>
      <w:r w:rsidRPr="000E2FC3">
        <w:rPr>
          <w:rFonts w:ascii="Times New Roman" w:hAnsi="Times New Roman" w:cs="Times New Roman"/>
          <w:sz w:val="28"/>
          <w:szCs w:val="28"/>
        </w:rPr>
        <w:t xml:space="preserve"> 5372,68 </w:t>
      </w:r>
      <w:r>
        <w:rPr>
          <w:rFonts w:ascii="Times New Roman" w:hAnsi="Times New Roman" w:cs="Times New Roman"/>
          <w:sz w:val="28"/>
          <w:szCs w:val="28"/>
        </w:rPr>
        <w:t xml:space="preserve">млн. рублей, что </w:t>
      </w:r>
      <w:r w:rsidRPr="000E2F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оставляет 196,29% </w:t>
      </w:r>
      <w:r w:rsidRPr="000E2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предыдущего года. За январь-июнь 2022 года крупными и средними предприятиями района отгружено собственной продукции на сумму 2561,2 млн. рублей, что выше уровня предыдущего года на 31,9%.</w:t>
      </w:r>
    </w:p>
    <w:p w:rsidR="004F2EDD" w:rsidRDefault="000E2FC3">
      <w:pPr>
        <w:widowControl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2021 году объем производства продукции сельского хозяйства в хозяйствах всех категорий составил 4028,33 млн. рублей, или 105,69% в действующих ценах к уровню 2020 года.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Рост   объема производства продукции сельского хозяйства обусловлен увеличением посевных площадей.</w:t>
      </w:r>
    </w:p>
    <w:p w:rsidR="004F2EDD" w:rsidRDefault="000E2FC3">
      <w:pPr>
        <w:widowControl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 2021 год объем инвестиций в основной капитал за счет всех источников финансирования составил  499,4 млн. рублей, или 72,41% в действующих ценах по отношению к 2020 году.</w:t>
      </w:r>
    </w:p>
    <w:p w:rsidR="004F2EDD" w:rsidRDefault="000E2FC3">
      <w:pPr>
        <w:widowControl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Оборот розничной торговли за 2021 год составил 4 247,74 млн. рублей – 114,69 % к предыдущему году.</w:t>
      </w:r>
    </w:p>
    <w:p w:rsidR="004F2EDD" w:rsidRDefault="000E2FC3">
      <w:pPr>
        <w:widowControl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Объем платных услуг, оказанных населению района в 2021 году, составил 806,1 млн. рублей, что на 12,79% выше предыдущего года.</w:t>
      </w:r>
    </w:p>
    <w:p w:rsidR="004F2EDD" w:rsidRDefault="000E2FC3">
      <w:pPr>
        <w:widowControl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Реальная заработная плата за 2021 год, рассчитанная с учетом изменения индекса потребительских цен, составила 100,86 % к 2020 году.</w:t>
      </w:r>
    </w:p>
    <w:p w:rsidR="004F2EDD" w:rsidRDefault="004F2ED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4F2EDD" w:rsidRDefault="004F2EDD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4F2EDD" w:rsidRDefault="000E2FC3">
      <w:pPr>
        <w:pStyle w:val="af1"/>
        <w:widowControl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 Направления и целевые показатели социально-экономического развития муниципального образования Веневский район на среднесрочный период, включая количественные показатели и качественные характеристики социально-экономического развития</w:t>
      </w:r>
    </w:p>
    <w:p w:rsidR="004F2EDD" w:rsidRDefault="004F2EDD">
      <w:pPr>
        <w:pStyle w:val="af1"/>
        <w:widowControl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4F2EDD" w:rsidRDefault="000E2F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Оценка показателей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и прогнозные показатели на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годы осуществлена на основании проведенного анализа социально-экономического развития Веневского района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4F2EDD" w:rsidRDefault="000E2FC3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учетом сложившихся тенденций в экономике Веневского района за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годы, а также результатов I полугодия текущего года, по предварительным оценкам, предполагается, что в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22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году по сравнению с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годом:</w:t>
      </w:r>
    </w:p>
    <w:p w:rsidR="004F2EDD" w:rsidRDefault="000E2FC3">
      <w:pPr>
        <w:pStyle w:val="ab"/>
        <w:tabs>
          <w:tab w:val="left" w:pos="126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темпы роста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производства продукции сельского хозяйства  состав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ят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10,25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%;</w:t>
      </w:r>
    </w:p>
    <w:p w:rsidR="004F2EDD" w:rsidRDefault="000E2FC3">
      <w:pPr>
        <w:pStyle w:val="ab"/>
        <w:tabs>
          <w:tab w:val="left" w:pos="126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  темпы роста объема отгруженной продукции в промышленности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действующих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ценах</w:t>
      </w:r>
      <w:r w:rsidRPr="000E2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составят 104,47 %;</w:t>
      </w:r>
    </w:p>
    <w:p w:rsidR="004F2EDD" w:rsidRDefault="000E2F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 темп роста оборота розничной торговли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состав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т 106,86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%, объема платных услуг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103,01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%;</w:t>
      </w:r>
    </w:p>
    <w:p w:rsidR="004F2EDD" w:rsidRDefault="000E2F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 объем инвестиций в основной капитал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89,35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%;</w:t>
      </w:r>
    </w:p>
    <w:p w:rsidR="004F2EDD" w:rsidRDefault="000E2FC3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 фонд заработной платы по всем видам экономической деятельности (по полному кругу предприятий и организаций) увеличится на 6,1%.</w:t>
      </w:r>
    </w:p>
    <w:p w:rsidR="004F2EDD" w:rsidRDefault="000E2F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прогнозу в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по сравнению с оценкой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года:</w:t>
      </w:r>
    </w:p>
    <w:p w:rsidR="004F2EDD" w:rsidRDefault="000E2F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темпы роста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производства продукции сельского хозяйства  состав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103,99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%;</w:t>
      </w:r>
    </w:p>
    <w:p w:rsidR="004F2EDD" w:rsidRDefault="000E2F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объем отгруженной продукции в промышленности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действующи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ценах увеличится на 2,6%;</w:t>
      </w:r>
    </w:p>
    <w:p w:rsidR="004F2EDD" w:rsidRDefault="000E2F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темп роста оборота розничной торговли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действующих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ценах составит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112,25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%, объема платных услуг в сопоставимых ценах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107,1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%;</w:t>
      </w:r>
    </w:p>
    <w:p w:rsidR="004F2EDD" w:rsidRDefault="000E2F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 темпы роста объема инвестиций в основной капитал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составят 107,12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%;</w:t>
      </w:r>
    </w:p>
    <w:p w:rsidR="004F2EDD" w:rsidRDefault="000E2FC3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фонд заработной платы по всем видам экономической деятельности (по полному кругу предприятий и организаций)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увеличит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на 7,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4F2EDD" w:rsidRDefault="004F2EDD">
      <w:pPr>
        <w:ind w:firstLine="709"/>
        <w:jc w:val="both"/>
        <w:rPr>
          <w:color w:val="000000"/>
          <w:shd w:val="clear" w:color="auto" w:fill="FFFFFF"/>
        </w:rPr>
      </w:pPr>
    </w:p>
    <w:p w:rsidR="004F2EDD" w:rsidRDefault="000E2FC3">
      <w:pPr>
        <w:keepNext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Промышленность</w:t>
      </w:r>
    </w:p>
    <w:p w:rsidR="004F2EDD" w:rsidRDefault="004F2EDD">
      <w:pPr>
        <w:keepNext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2EDD" w:rsidRDefault="000E2FC3">
      <w:pPr>
        <w:tabs>
          <w:tab w:val="left" w:pos="567"/>
        </w:tabs>
        <w:ind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 полугодии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по кругу крупных и средних предприятий промышленного сектора отмечается </w:t>
      </w:r>
      <w:r w:rsidRPr="000E2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производства промышленной продукции, ими отгружено продукции на сумму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2561,2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млн. руб., что составляет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131,9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 к соответствующему периоду 2021 года. </w:t>
      </w:r>
    </w:p>
    <w:p w:rsidR="004F2EDD" w:rsidRDefault="000E2FC3">
      <w:pPr>
        <w:tabs>
          <w:tab w:val="left" w:pos="567"/>
        </w:tabs>
        <w:spacing w:line="276" w:lineRule="auto"/>
        <w:ind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прогнозном периоде 2023-2025 годов прогнозируется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положительная динамика показателя, по итогам 2025 года планируется 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увелич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ение объема  отгруженной продукции на 6,3%.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F2EDD" w:rsidRDefault="004F2EDD">
      <w:pPr>
        <w:widowControl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EDD" w:rsidRDefault="000E2FC3">
      <w:pPr>
        <w:widowControl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Агропромышленный комплекс</w:t>
      </w:r>
    </w:p>
    <w:p w:rsidR="004F2EDD" w:rsidRDefault="004F2EDD">
      <w:pPr>
        <w:widowControl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F2EDD" w:rsidRDefault="000E2FC3">
      <w:pPr>
        <w:widowControl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По оценке 2022 года объем производства сельскохозяйственной  продукции по всем категориям хозяйств составит 4 441,11,0 млн. рублей, 110,25% к уровню прошлого года в действующих ценах. </w:t>
      </w:r>
    </w:p>
    <w:p w:rsidR="004F2EDD" w:rsidRDefault="000E2FC3">
      <w:pPr>
        <w:widowControl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По прогнозируемым показателям производств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сельскохозяйственной  продукции по всем категориям хозяй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ств пл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анируется рост в действующих ценах в 2023 году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103,99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%, в 2024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104,22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%, в 2025 – 106,49%.</w:t>
      </w:r>
    </w:p>
    <w:p w:rsidR="004F2EDD" w:rsidRDefault="000E2FC3">
      <w:pPr>
        <w:widowControl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ab/>
        <w:t>Рост   объема производства продукции сельского хозяйства обусловлен увеличением посевных площадей.</w:t>
      </w:r>
    </w:p>
    <w:p w:rsidR="004F2EDD" w:rsidRDefault="004F2EDD">
      <w:pPr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2EDD" w:rsidRDefault="000E2FC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Оборот розничной торговли</w:t>
      </w:r>
    </w:p>
    <w:p w:rsidR="004F2EDD" w:rsidRDefault="004F2ED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F2EDD" w:rsidRDefault="000E2FC3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розничной торговли в современных условиях хозяйствования является одним из основных показателей состояния городской и сельской инфраструктуры, обеспечивающих наряду с жилищными и транспортными услугами комфортность проживания.</w:t>
      </w:r>
    </w:p>
    <w:p w:rsidR="004F2EDD" w:rsidRDefault="000E2FC3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Веневском районе сконцентрировано 1,2% оборота розничной торговли Тульской области.</w:t>
      </w:r>
    </w:p>
    <w:p w:rsidR="004F2EDD" w:rsidRDefault="000E2FC3">
      <w:pPr>
        <w:pStyle w:val="af3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 оценке в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оборот розничной торговли  составит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4539,1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млн. руб. 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106,86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% в действующих ценах к уровню 2021 года.</w:t>
      </w:r>
    </w:p>
    <w:p w:rsidR="004F2EDD" w:rsidRDefault="000E2FC3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прогнозу в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оборот розничной торговли в действующих ценах по отношению к прошлому году увеличится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12,25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%, в 2024 –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9,15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%, в 2025 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4F2EDD" w:rsidRDefault="004F2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2EDD" w:rsidRDefault="000E2FC3">
      <w:pPr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3.4. Платные услуги населению</w:t>
      </w:r>
    </w:p>
    <w:p w:rsidR="004F2EDD" w:rsidRDefault="004F2EDD">
      <w:pPr>
        <w:widowControl/>
        <w:spacing w:line="276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F2EDD" w:rsidRDefault="000E2FC3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показателей прогноза по платным услугам населению проводилась путем комплексного анализа состояния рынка услуг во взаимосвязи с общим социально-экономическим положением в районе.</w:t>
      </w:r>
    </w:p>
    <w:p w:rsidR="004F2EDD" w:rsidRDefault="000E2F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оценке 20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расчетный объем платных услуг населению составит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830,33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млн. рублей 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103,01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 в действующих ценах к уровню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4F2EDD" w:rsidRDefault="000E2F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прогнозу в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объем реализации платных услуг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ценах по отношению к прошлому году увеличится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7,1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%, в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на 9,1%, в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6,92%.  </w:t>
      </w:r>
    </w:p>
    <w:p w:rsidR="004F2EDD" w:rsidRDefault="000E2F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оценке 2022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бъем платных услуг населению (по кругу крупных и средних организаций)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680,89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млн. рублей 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104,00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 в действующих ценах к уровню 2021 года.</w:t>
      </w:r>
    </w:p>
    <w:p w:rsidR="004F2EDD" w:rsidRDefault="000E2FC3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прогнозу в 2023 году объем реализации платных услуг населению (по кругу крупных и средних организаций) в действующих ценах по отношению к прошлому году увеличится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6,68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%, в 2024 –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2,85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%, в 2025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10,34%.</w:t>
      </w:r>
    </w:p>
    <w:p w:rsidR="004F2EDD" w:rsidRDefault="004F2EDD">
      <w:pPr>
        <w:keepNext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2EDD" w:rsidRDefault="000E2FC3">
      <w:pPr>
        <w:keepNext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 Денежные доходы населения</w:t>
      </w:r>
    </w:p>
    <w:p w:rsidR="004F2EDD" w:rsidRDefault="004F2ED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F2EDD" w:rsidRDefault="000E2FC3">
      <w:pPr>
        <w:pStyle w:val="af3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2021 года отмечаются высокие темпы роста среднемесячной заработной платы работников  организаций 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108,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% к уровню прошлого года.</w:t>
      </w:r>
    </w:p>
    <w:p w:rsidR="004F2EDD" w:rsidRDefault="000E2FC3">
      <w:pPr>
        <w:pStyle w:val="af3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заработной платы работников крупных и средних организаций за 6 месяцев текущего года показывает увеличение темпов роста до уровня 108,3%. Численность работников крупных и средних организаций в общей численности  составляет 70,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%. </w:t>
      </w:r>
    </w:p>
    <w:p w:rsidR="004F2EDD" w:rsidRDefault="000E2FC3">
      <w:pPr>
        <w:pStyle w:val="af3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оценке 20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средняя номинальная начисленная заработная плата работников организаций  района составит</w:t>
      </w:r>
      <w:r w:rsidRPr="000E2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38 585,8</w:t>
      </w:r>
      <w:r w:rsidRPr="000E2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рублей, что выше  уровня прошлого года на 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8,0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4F2EDD" w:rsidRDefault="000E2FC3">
      <w:pPr>
        <w:pStyle w:val="af3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периоде 202</w:t>
      </w:r>
      <w:r w:rsidRPr="000E2FC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202</w:t>
      </w:r>
      <w:r w:rsidRPr="000E2FC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202</w:t>
      </w:r>
      <w:r w:rsidRPr="000E2FC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прогнозируется темп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заработной платы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%,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%, 10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% соответственно.</w:t>
      </w:r>
    </w:p>
    <w:p w:rsidR="004F2EDD" w:rsidRDefault="000E2FC3">
      <w:pPr>
        <w:pStyle w:val="af3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Темпы роста фонда </w:t>
      </w:r>
      <w:r w:rsidRPr="000E2FC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аработной платы по полному кругу предприятий по итогам 202</w:t>
      </w:r>
      <w:r w:rsidRPr="000E2FC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сложились в размере </w:t>
      </w:r>
      <w:r w:rsidRPr="000E2FC3">
        <w:rPr>
          <w:rFonts w:ascii="Times New Roman" w:hAnsi="Times New Roman" w:cs="Times New Roman"/>
          <w:sz w:val="28"/>
          <w:szCs w:val="28"/>
          <w:shd w:val="clear" w:color="auto" w:fill="FFFFFF"/>
        </w:rPr>
        <w:t>108,2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4F2EDD" w:rsidRDefault="000E2FC3">
      <w:pPr>
        <w:pStyle w:val="af3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оценке 2022 года ожидается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объема фонда </w:t>
      </w:r>
      <w:r w:rsidRPr="000E2FC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аработной платы к уровню 2021 года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%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2 369,3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млн. руб.).</w:t>
      </w:r>
    </w:p>
    <w:p w:rsidR="004F2EDD" w:rsidRDefault="000E2FC3">
      <w:pPr>
        <w:pStyle w:val="af3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 итогам 2025 года фонд оплаты труда по полному кругу предприятий составит</w:t>
      </w:r>
      <w:r w:rsidRPr="000E2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2 920,1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превысит уровень 2021 года на 30,9%.</w:t>
      </w:r>
    </w:p>
    <w:p w:rsidR="004F2EDD" w:rsidRDefault="000E2FC3">
      <w:pPr>
        <w:pStyle w:val="af3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2021 года реальная заработная плата составляет 100,86%, что ниже уровня прошлого года на 3,9%. По оценке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2022 года прогнозируется снижение до 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2,07%. В период 2023,2024,2025 годов прогнозируется рост показателя 98,7%,101,8%,102,65% соответственно. </w:t>
      </w:r>
    </w:p>
    <w:p w:rsidR="004F2EDD" w:rsidRDefault="000E2FC3">
      <w:pPr>
        <w:pStyle w:val="af3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Среднесписочная численность работников организаций в оцениваемом году составит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(темп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98,3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%). К 202</w:t>
      </w:r>
      <w:r w:rsidRPr="000E2FC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среднесписочная численность работников организаций прогнозируется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</w:t>
      </w:r>
      <w:r w:rsidRPr="000E2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</w:t>
      </w:r>
      <w:r w:rsidRPr="000E2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человек.</w:t>
      </w:r>
    </w:p>
    <w:p w:rsidR="004F2EDD" w:rsidRDefault="000E2FC3">
      <w:pPr>
        <w:pStyle w:val="af3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202</w:t>
      </w:r>
      <w:r w:rsidRPr="000E2FC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отмечается высокий рост выплат социального характера работников организаций полного круга — 121% к прошлому году. По оценке 2022 года  прогнозируется снижение показателя на 6,3% к прошлому году.</w:t>
      </w:r>
    </w:p>
    <w:p w:rsidR="004F2EDD" w:rsidRDefault="000E2FC3">
      <w:pPr>
        <w:pStyle w:val="af3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периоде 2023, 2024, 2025 годов прогнозиру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темпы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выплат социального характера — 110,7%, 106,5%, 108,7% соо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тветственно.</w:t>
      </w:r>
    </w:p>
    <w:p w:rsidR="004F2EDD" w:rsidRDefault="004F2ED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F2EDD" w:rsidRDefault="004F2ED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EDD" w:rsidRDefault="000E2FC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 Объем инвестиций</w:t>
      </w:r>
    </w:p>
    <w:p w:rsidR="004F2EDD" w:rsidRDefault="004F2EDD">
      <w:pPr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2EDD" w:rsidRDefault="000E2FC3">
      <w:pPr>
        <w:pStyle w:val="ab"/>
        <w:tabs>
          <w:tab w:val="left" w:pos="1260"/>
        </w:tabs>
        <w:spacing w:after="119"/>
        <w:ind w:firstLine="709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Инвестиции в основной капитал по кругу крупных и средних предприятий и организаций района по итогам 1 полугодия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 составили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80 366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тыс. рублей,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на 36,2% мен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ьше аналогичного периода прошлого года. </w:t>
      </w:r>
    </w:p>
    <w:p w:rsidR="004F2EDD" w:rsidRDefault="000E2FC3">
      <w:pPr>
        <w:pStyle w:val="ab"/>
        <w:tabs>
          <w:tab w:val="left" w:pos="1260"/>
        </w:tabs>
        <w:spacing w:after="119"/>
        <w:ind w:firstLine="709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оценке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темп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роста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объема инвестиций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действующи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 ценах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снизится до 89,35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%.</w:t>
      </w:r>
    </w:p>
    <w:p w:rsidR="004F2EDD" w:rsidRDefault="000E2FC3">
      <w:pPr>
        <w:pStyle w:val="ab"/>
        <w:tabs>
          <w:tab w:val="left" w:pos="1260"/>
        </w:tabs>
        <w:spacing w:after="119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прогнозном периоде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годов по объему инвестиций  ожидается положительная стабильная 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динамика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темп роста составит 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7,12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%, 110,57% и 110,35% соответственно. </w:t>
      </w:r>
    </w:p>
    <w:p w:rsidR="004F2EDD" w:rsidRDefault="004F2EDD">
      <w:pPr>
        <w:pStyle w:val="ab"/>
        <w:tabs>
          <w:tab w:val="left" w:pos="1260"/>
        </w:tabs>
        <w:spacing w:after="0" w:line="276" w:lineRule="auto"/>
        <w:ind w:firstLine="709"/>
        <w:jc w:val="both"/>
        <w:rPr>
          <w:rFonts w:ascii="Times New Roman" w:hAnsi="Times New Roman"/>
        </w:rPr>
      </w:pPr>
    </w:p>
    <w:p w:rsidR="004F2EDD" w:rsidRDefault="000E2FC3">
      <w:pPr>
        <w:widowControl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 Финансовый результат деятельности предприятий</w:t>
      </w:r>
    </w:p>
    <w:p w:rsidR="004F2EDD" w:rsidRDefault="004F2EDD">
      <w:pPr>
        <w:widowControl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2EDD" w:rsidRDefault="004F2EDD">
      <w:pPr>
        <w:pStyle w:val="af3"/>
        <w:ind w:left="-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EDD" w:rsidRDefault="000E2FC3">
      <w:pPr>
        <w:pStyle w:val="af3"/>
        <w:ind w:left="-142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 полному кругу организаций Веневского района получен положительный финансовый результат в размере </w:t>
      </w:r>
      <w:r w:rsidRPr="000E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351823,0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тыс. рублей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Pr="000E2FC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торый  сформировался следующим образом: прибыль получена в размере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764 852,0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рублей, убыток в сумме 413029,0 тыс. рублей.</w:t>
      </w:r>
    </w:p>
    <w:p w:rsidR="004F2EDD" w:rsidRDefault="000E2FC3">
      <w:pPr>
        <w:pStyle w:val="af3"/>
        <w:ind w:left="-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оценке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 полному кругу предприятий прогнозируется положительный финансовый результат в размере 371 250,33 тыс. рублей. </w:t>
      </w:r>
    </w:p>
    <w:p w:rsidR="004F2EDD" w:rsidRDefault="000E2FC3">
      <w:pPr>
        <w:pStyle w:val="af3"/>
        <w:ind w:left="-142" w:firstLine="709"/>
        <w:jc w:val="both"/>
        <w:sectPr w:rsidR="004F2EDD">
          <w:pgSz w:w="11906" w:h="16838"/>
          <w:pgMar w:top="993" w:right="851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прогнозном периоде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  прогнозируется увеличение положительного финансового результата до 527 056,28 тыс. рублей.</w:t>
      </w:r>
    </w:p>
    <w:p w:rsidR="004F2EDD" w:rsidRDefault="000E2FC3">
      <w:pPr>
        <w:widowControl/>
        <w:spacing w:line="276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4.Основные прогнозные показатели социально-экономического развития муниципального образования Веневский район на 2023 год и на плановый период 2024 и 2025 годов</w:t>
      </w:r>
    </w:p>
    <w:tbl>
      <w:tblPr>
        <w:tblW w:w="1490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128"/>
        <w:gridCol w:w="1749"/>
        <w:gridCol w:w="1470"/>
        <w:gridCol w:w="1401"/>
        <w:gridCol w:w="1472"/>
        <w:gridCol w:w="6"/>
        <w:gridCol w:w="1410"/>
        <w:gridCol w:w="6"/>
        <w:gridCol w:w="1417"/>
        <w:gridCol w:w="1423"/>
        <w:gridCol w:w="1418"/>
      </w:tblGrid>
      <w:tr w:rsidR="004F2EDD">
        <w:trPr>
          <w:trHeight w:val="513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Единица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измерения</w:t>
            </w:r>
          </w:p>
        </w:tc>
        <w:tc>
          <w:tcPr>
            <w:tcW w:w="43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Отчет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</w:tc>
      </w:tr>
      <w:tr w:rsidR="004F2EDD">
        <w:trPr>
          <w:trHeight w:val="350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4F2EDD">
        <w:trPr>
          <w:trHeight w:val="480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отгруженной продукции (по полному кругу предприятий) промышленного производства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3 331,89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2 737,12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5 372,68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5 613,01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5 728,59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5 847,83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5 964,00</w:t>
            </w:r>
          </w:p>
        </w:tc>
      </w:tr>
      <w:tr w:rsidR="004F2EDD">
        <w:trPr>
          <w:trHeight w:val="807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70,74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82,15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196,29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104,47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102,06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102,08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101,99</w:t>
            </w:r>
          </w:p>
        </w:tc>
      </w:tr>
      <w:tr w:rsidR="004F2EDD">
        <w:trPr>
          <w:trHeight w:val="33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2EDD">
        <w:trPr>
          <w:trHeight w:val="420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2 977,25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2 449,86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5 140,00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5 417,56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5 525,91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5 636,43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5 749,16</w:t>
            </w:r>
          </w:p>
        </w:tc>
      </w:tr>
      <w:tr w:rsidR="004F2EDD">
        <w:trPr>
          <w:trHeight w:val="790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69,78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82,29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209,81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105,40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102,00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102,00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102,00</w:t>
            </w:r>
          </w:p>
        </w:tc>
      </w:tr>
      <w:tr w:rsidR="004F2EDD">
        <w:trPr>
          <w:trHeight w:val="480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Продукция сельского хозяйства в хозяйствах всех категорий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2 525,92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3 811,49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4 028,33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4 441,11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4 618,14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4 812,90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5 125,44</w:t>
            </w:r>
          </w:p>
        </w:tc>
      </w:tr>
      <w:tr w:rsidR="004F2EDD">
        <w:trPr>
          <w:trHeight w:val="690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66,22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150,90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105,69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110,25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103,99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104,22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106,49</w:t>
            </w:r>
          </w:p>
        </w:tc>
      </w:tr>
      <w:tr w:rsidR="004F2EDD">
        <w:trPr>
          <w:trHeight w:val="375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2EDD">
        <w:trPr>
          <w:trHeight w:val="474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Продукция сельского хозяйства в хозяйствах всех категорий (по кругу крупных и средних предприятий)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750,27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1 260,45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1 308,23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1 326,58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1 439,57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1 511,55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1 603,75</w:t>
            </w:r>
          </w:p>
        </w:tc>
      </w:tr>
      <w:tr w:rsidR="004F2EDD">
        <w:trPr>
          <w:trHeight w:val="787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60,62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168,00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103,79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101,40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108,52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105,00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106,10</w:t>
            </w:r>
          </w:p>
        </w:tc>
      </w:tr>
      <w:tr w:rsidR="004F2EDD">
        <w:trPr>
          <w:trHeight w:val="435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3 893,29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3 703,63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4 247,74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4 539,10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5 095,32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5 561,37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6 000,89</w:t>
            </w:r>
          </w:p>
        </w:tc>
      </w:tr>
      <w:tr w:rsidR="004F2EDD">
        <w:trPr>
          <w:trHeight w:val="720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105,29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95,13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114,69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106,86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112,25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109,15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107,90</w:t>
            </w:r>
          </w:p>
        </w:tc>
      </w:tr>
      <w:tr w:rsidR="004F2EDD">
        <w:trPr>
          <w:trHeight w:val="405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платных услуг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739,21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714,67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806,1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830,33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889,27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970,15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1 037,25</w:t>
            </w:r>
          </w:p>
        </w:tc>
      </w:tr>
      <w:tr w:rsidR="004F2EDD">
        <w:trPr>
          <w:trHeight w:val="738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101,38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96,68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112,79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103,01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107,1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109,1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106,92</w:t>
            </w:r>
          </w:p>
        </w:tc>
      </w:tr>
      <w:tr w:rsidR="004F2EDD">
        <w:trPr>
          <w:trHeight w:val="315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2EDD">
        <w:trPr>
          <w:trHeight w:val="391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платных услуг населению (по кругу крупных и средних организаций)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640,49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605,99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654,71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680,89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726,39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747,10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824,36</w:t>
            </w:r>
          </w:p>
        </w:tc>
      </w:tr>
      <w:tr w:rsidR="004F2EDD">
        <w:trPr>
          <w:trHeight w:val="675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120,67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94,61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108,04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104,00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106,68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102,85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110,34</w:t>
            </w:r>
          </w:p>
        </w:tc>
      </w:tr>
      <w:tr w:rsidR="004F2EDD">
        <w:trPr>
          <w:trHeight w:val="435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758,24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689,69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499,405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446,218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477,989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528,512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583,213</w:t>
            </w:r>
          </w:p>
        </w:tc>
      </w:tr>
      <w:tr w:rsidR="004F2EDD">
        <w:trPr>
          <w:trHeight w:val="660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106,31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90,96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72,41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89,35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107,12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110,57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110,35</w:t>
            </w:r>
          </w:p>
        </w:tc>
      </w:tr>
      <w:tr w:rsidR="004F2EDD">
        <w:trPr>
          <w:trHeight w:val="435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689,31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615,80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445,907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398,432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426,802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471,893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520,755</w:t>
            </w:r>
          </w:p>
        </w:tc>
      </w:tr>
      <w:tr w:rsidR="004F2EDD">
        <w:trPr>
          <w:trHeight w:val="1530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4F2ED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оду в действующих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106,31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89,34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72,41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89,35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107,12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110,57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110,35</w:t>
            </w:r>
          </w:p>
        </w:tc>
      </w:tr>
      <w:tr w:rsidR="004F2EDD">
        <w:trPr>
          <w:trHeight w:val="33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2EDD">
        <w:trPr>
          <w:trHeight w:val="39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средства: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126,47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265,31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230,940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207,572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219,256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213,414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216,335</w:t>
            </w:r>
          </w:p>
        </w:tc>
      </w:tr>
      <w:tr w:rsidR="004F2EDD">
        <w:trPr>
          <w:trHeight w:val="39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43,07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112,09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177,661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110,939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144,300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127,620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135,960</w:t>
            </w:r>
          </w:p>
        </w:tc>
      </w:tr>
      <w:tr w:rsidR="004F2EDD">
        <w:trPr>
          <w:trHeight w:val="36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бюджета области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65,62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26,60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36,398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42,871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39,635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41,253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40,444</w:t>
            </w:r>
          </w:p>
        </w:tc>
      </w:tr>
      <w:tr w:rsidR="004F2EDD">
        <w:trPr>
          <w:trHeight w:val="615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бюджета муниципального образования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17,78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126,63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16,881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53,762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35,322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44,542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39,932</w:t>
            </w:r>
          </w:p>
        </w:tc>
      </w:tr>
      <w:tr w:rsidR="004F2EDD">
        <w:trPr>
          <w:trHeight w:val="66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результат по всем видам деятельности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362 882,00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-98 335,00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351 823,00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371 250,33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406 921,76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458 895,49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527 056,28</w:t>
            </w:r>
          </w:p>
        </w:tc>
      </w:tr>
      <w:tr w:rsidR="004F2EDD">
        <w:trPr>
          <w:trHeight w:val="33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2EDD">
        <w:trPr>
          <w:trHeight w:val="69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результат по сельскому хозяйству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-206 366,00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-216 137,00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-147 066,00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-93 305,00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-69 183,00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-35 507,00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-27 088,00</w:t>
            </w:r>
          </w:p>
        </w:tc>
      </w:tr>
      <w:tr w:rsidR="004F2EDD">
        <w:trPr>
          <w:trHeight w:val="675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Прибыль прибыльных организаций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764 138,00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515 134,00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764 852,00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780 149,04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803 553,51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835 695,65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877 480,43</w:t>
            </w:r>
          </w:p>
        </w:tc>
      </w:tr>
      <w:tr w:rsidR="004F2EDD">
        <w:trPr>
          <w:trHeight w:val="33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2EDD">
        <w:trPr>
          <w:trHeight w:val="75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прибыль прибыльных организаций сельского хозяйства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41 477,00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102 036,00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112 335,00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135 843,00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149 318,00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164 300,00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171 412,00</w:t>
            </w:r>
          </w:p>
        </w:tc>
      </w:tr>
      <w:tr w:rsidR="004F2EDD">
        <w:trPr>
          <w:trHeight w:val="63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Убыток убыточных организаций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401 256,00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613 469,00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413 029,00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408 898,71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396 631,75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376 800,16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350 424,15</w:t>
            </w:r>
          </w:p>
        </w:tc>
      </w:tr>
      <w:tr w:rsidR="004F2EDD">
        <w:trPr>
          <w:trHeight w:val="33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4F2E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2EDD">
        <w:trPr>
          <w:trHeight w:val="675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убыток убыточных организаций сельского хозяйства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247 843,00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318 173,00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259 401,00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229 148,00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218 501,00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199 807,00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198 500,00</w:t>
            </w:r>
          </w:p>
        </w:tc>
      </w:tr>
      <w:tr w:rsidR="004F2EDD">
        <w:trPr>
          <w:trHeight w:val="72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 организаций - всего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5143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5213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5205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5117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5158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5188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5200</w:t>
            </w:r>
          </w:p>
        </w:tc>
      </w:tr>
      <w:tr w:rsidR="004F2EDD">
        <w:trPr>
          <w:trHeight w:val="10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30 302,20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32 983,50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35 728,47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38 585,80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41 206,04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43 835,50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46 795,75</w:t>
            </w:r>
          </w:p>
        </w:tc>
      </w:tr>
      <w:tr w:rsidR="004F2EDD">
        <w:trPr>
          <w:trHeight w:val="711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Реальная заработная плата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% к пред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оду в сопоставимых ценах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103,5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104,93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100,86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92,07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98,70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101,80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102,65</w:t>
            </w:r>
          </w:p>
        </w:tc>
      </w:tr>
      <w:tr w:rsidR="004F2EDD">
        <w:trPr>
          <w:trHeight w:val="57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Фонд заработной платы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1 870 129,00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2 063 318,30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2 231 600,00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2 369 322,32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2 550 488,79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2 729 023,01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2 920 054,62</w:t>
            </w:r>
          </w:p>
        </w:tc>
      </w:tr>
      <w:tr w:rsidR="004F2EDD">
        <w:trPr>
          <w:trHeight w:val="57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Выплаты социального характера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15 424,00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20 431,40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24 721,99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23 166,14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25 635,59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27 292,95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EDD" w:rsidRDefault="000E2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29 679,43</w:t>
            </w:r>
          </w:p>
        </w:tc>
      </w:tr>
    </w:tbl>
    <w:p w:rsidR="004F2EDD" w:rsidRDefault="004F2EDD">
      <w:pPr>
        <w:widowControl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F2EDD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DD"/>
    <w:rsid w:val="000A047F"/>
    <w:rsid w:val="000E2FC3"/>
    <w:rsid w:val="002C092F"/>
    <w:rsid w:val="00340F1F"/>
    <w:rsid w:val="004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BC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basedOn w:val="a0"/>
    <w:uiPriority w:val="99"/>
    <w:qFormat/>
    <w:rsid w:val="00CD0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">
    <w:name w:val="Заголовок 2 Знак"/>
    <w:basedOn w:val="a0"/>
    <w:uiPriority w:val="9"/>
    <w:semiHidden/>
    <w:qFormat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Заголовок 1 Знак"/>
    <w:basedOn w:val="a0"/>
    <w:uiPriority w:val="9"/>
    <w:qFormat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qFormat/>
    <w:rsid w:val="0097313B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Знак"/>
    <w:basedOn w:val="a0"/>
    <w:uiPriority w:val="99"/>
    <w:qFormat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11"/>
    <w:uiPriority w:val="99"/>
    <w:qFormat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qFormat/>
    <w:rsid w:val="0097313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10"/>
    <w:uiPriority w:val="99"/>
    <w:qFormat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0">
    <w:name w:val="Заголовок №2_"/>
    <w:basedOn w:val="a0"/>
    <w:link w:val="21"/>
    <w:uiPriority w:val="99"/>
    <w:qFormat/>
    <w:rsid w:val="0036055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FF56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uiPriority w:val="1"/>
    <w:qFormat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5A46D9"/>
  </w:style>
  <w:style w:type="character" w:customStyle="1" w:styleId="a8">
    <w:name w:val="Верхний колонтитул Знак"/>
    <w:basedOn w:val="a0"/>
    <w:qFormat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qFormat/>
    <w:rsid w:val="00491145"/>
  </w:style>
  <w:style w:type="character" w:customStyle="1" w:styleId="a9">
    <w:name w:val="Нижний колонтитул Знак"/>
    <w:basedOn w:val="a0"/>
    <w:uiPriority w:val="99"/>
    <w:qFormat/>
    <w:rsid w:val="00742BE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Заголовок"/>
    <w:basedOn w:val="a"/>
    <w:next w:val="ab"/>
    <w:qFormat/>
    <w:rsid w:val="00B21C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unhideWhenUsed/>
    <w:rsid w:val="0097313B"/>
    <w:pPr>
      <w:spacing w:after="120"/>
    </w:pPr>
  </w:style>
  <w:style w:type="paragraph" w:styleId="ac">
    <w:name w:val="List"/>
    <w:basedOn w:val="ab"/>
    <w:rsid w:val="00B21C73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"/>
    <w:qFormat/>
    <w:rsid w:val="00B21C73"/>
    <w:pPr>
      <w:suppressLineNumbers/>
    </w:pPr>
    <w:rPr>
      <w:rFonts w:cs="Mangal"/>
    </w:rPr>
  </w:style>
  <w:style w:type="paragraph" w:customStyle="1" w:styleId="11">
    <w:name w:val="Заголовок 1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0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"/>
    <w:next w:val="a"/>
    <w:link w:val="31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12">
    <w:name w:val="Название объекта1"/>
    <w:basedOn w:val="a"/>
    <w:qFormat/>
    <w:rsid w:val="00B21C73"/>
    <w:pPr>
      <w:suppressLineNumbers/>
      <w:spacing w:before="120" w:after="120"/>
    </w:pPr>
    <w:rPr>
      <w:rFonts w:cs="Mangal"/>
      <w:i/>
      <w:iCs/>
    </w:rPr>
  </w:style>
  <w:style w:type="paragraph" w:customStyle="1" w:styleId="af">
    <w:name w:val="Нормальный (таблица)"/>
    <w:basedOn w:val="a"/>
    <w:next w:val="a"/>
    <w:uiPriority w:val="99"/>
    <w:qFormat/>
    <w:rsid w:val="00CD0EBC"/>
    <w:pPr>
      <w:jc w:val="both"/>
    </w:pPr>
  </w:style>
  <w:style w:type="paragraph" w:styleId="af0">
    <w:name w:val="Body Text Indent"/>
    <w:basedOn w:val="a"/>
    <w:uiPriority w:val="99"/>
    <w:semiHidden/>
    <w:rsid w:val="00CD0EBC"/>
    <w:pPr>
      <w:widowControl/>
      <w:ind w:firstLine="720"/>
      <w:jc w:val="both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096BB4"/>
    <w:pPr>
      <w:ind w:left="720"/>
      <w:contextualSpacing/>
    </w:pPr>
  </w:style>
  <w:style w:type="paragraph" w:customStyle="1" w:styleId="80">
    <w:name w:val="Основной текст (8)"/>
    <w:basedOn w:val="a"/>
    <w:link w:val="8"/>
    <w:uiPriority w:val="99"/>
    <w:qFormat/>
    <w:rsid w:val="0097313B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"/>
    <w:uiPriority w:val="99"/>
    <w:qFormat/>
    <w:rsid w:val="0097313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customStyle="1" w:styleId="22">
    <w:name w:val="Заголовок №2"/>
    <w:basedOn w:val="a"/>
    <w:uiPriority w:val="99"/>
    <w:qFormat/>
    <w:rsid w:val="0036055B"/>
    <w:pPr>
      <w:shd w:val="clear" w:color="auto" w:fill="FFFFFF"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f2">
    <w:name w:val="Balloon Text"/>
    <w:basedOn w:val="a"/>
    <w:uiPriority w:val="99"/>
    <w:semiHidden/>
    <w:unhideWhenUsed/>
    <w:qFormat/>
    <w:rsid w:val="00FF56A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0F1C3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0F1C34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3">
    <w:name w:val="No Spacing"/>
    <w:qFormat/>
    <w:rPr>
      <w:rFonts w:eastAsia="Times New Roman" w:cs="Calibri"/>
      <w:sz w:val="22"/>
      <w:lang w:eastAsia="zh-CN"/>
    </w:rPr>
  </w:style>
  <w:style w:type="paragraph" w:customStyle="1" w:styleId="af4">
    <w:name w:val="Верхний и нижний колонтитулы"/>
    <w:basedOn w:val="a"/>
    <w:qFormat/>
    <w:rsid w:val="00B21C73"/>
  </w:style>
  <w:style w:type="paragraph" w:customStyle="1" w:styleId="13">
    <w:name w:val="Верхний колонтитул1"/>
    <w:basedOn w:val="a"/>
    <w:qFormat/>
    <w:rsid w:val="00491145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000000"/>
    </w:rPr>
  </w:style>
  <w:style w:type="paragraph" w:customStyle="1" w:styleId="14">
    <w:name w:val="Нижний колонтитул1"/>
    <w:basedOn w:val="a"/>
    <w:uiPriority w:val="99"/>
    <w:unhideWhenUsed/>
    <w:qFormat/>
    <w:rsid w:val="00742BE1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B21C73"/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uiPriority w:val="59"/>
    <w:rsid w:val="00A62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BC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basedOn w:val="a0"/>
    <w:uiPriority w:val="99"/>
    <w:qFormat/>
    <w:rsid w:val="00CD0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">
    <w:name w:val="Заголовок 2 Знак"/>
    <w:basedOn w:val="a0"/>
    <w:uiPriority w:val="9"/>
    <w:semiHidden/>
    <w:qFormat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Заголовок 1 Знак"/>
    <w:basedOn w:val="a0"/>
    <w:uiPriority w:val="9"/>
    <w:qFormat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qFormat/>
    <w:rsid w:val="0097313B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Знак"/>
    <w:basedOn w:val="a0"/>
    <w:uiPriority w:val="99"/>
    <w:qFormat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11"/>
    <w:uiPriority w:val="99"/>
    <w:qFormat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qFormat/>
    <w:rsid w:val="0097313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10"/>
    <w:uiPriority w:val="99"/>
    <w:qFormat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0">
    <w:name w:val="Заголовок №2_"/>
    <w:basedOn w:val="a0"/>
    <w:link w:val="21"/>
    <w:uiPriority w:val="99"/>
    <w:qFormat/>
    <w:rsid w:val="0036055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FF56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uiPriority w:val="1"/>
    <w:qFormat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5A46D9"/>
  </w:style>
  <w:style w:type="character" w:customStyle="1" w:styleId="a8">
    <w:name w:val="Верхний колонтитул Знак"/>
    <w:basedOn w:val="a0"/>
    <w:qFormat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qFormat/>
    <w:rsid w:val="00491145"/>
  </w:style>
  <w:style w:type="character" w:customStyle="1" w:styleId="a9">
    <w:name w:val="Нижний колонтитул Знак"/>
    <w:basedOn w:val="a0"/>
    <w:uiPriority w:val="99"/>
    <w:qFormat/>
    <w:rsid w:val="00742BE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Заголовок"/>
    <w:basedOn w:val="a"/>
    <w:next w:val="ab"/>
    <w:qFormat/>
    <w:rsid w:val="00B21C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unhideWhenUsed/>
    <w:rsid w:val="0097313B"/>
    <w:pPr>
      <w:spacing w:after="120"/>
    </w:pPr>
  </w:style>
  <w:style w:type="paragraph" w:styleId="ac">
    <w:name w:val="List"/>
    <w:basedOn w:val="ab"/>
    <w:rsid w:val="00B21C73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"/>
    <w:qFormat/>
    <w:rsid w:val="00B21C73"/>
    <w:pPr>
      <w:suppressLineNumbers/>
    </w:pPr>
    <w:rPr>
      <w:rFonts w:cs="Mangal"/>
    </w:rPr>
  </w:style>
  <w:style w:type="paragraph" w:customStyle="1" w:styleId="11">
    <w:name w:val="Заголовок 1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0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"/>
    <w:next w:val="a"/>
    <w:link w:val="31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12">
    <w:name w:val="Название объекта1"/>
    <w:basedOn w:val="a"/>
    <w:qFormat/>
    <w:rsid w:val="00B21C73"/>
    <w:pPr>
      <w:suppressLineNumbers/>
      <w:spacing w:before="120" w:after="120"/>
    </w:pPr>
    <w:rPr>
      <w:rFonts w:cs="Mangal"/>
      <w:i/>
      <w:iCs/>
    </w:rPr>
  </w:style>
  <w:style w:type="paragraph" w:customStyle="1" w:styleId="af">
    <w:name w:val="Нормальный (таблица)"/>
    <w:basedOn w:val="a"/>
    <w:next w:val="a"/>
    <w:uiPriority w:val="99"/>
    <w:qFormat/>
    <w:rsid w:val="00CD0EBC"/>
    <w:pPr>
      <w:jc w:val="both"/>
    </w:pPr>
  </w:style>
  <w:style w:type="paragraph" w:styleId="af0">
    <w:name w:val="Body Text Indent"/>
    <w:basedOn w:val="a"/>
    <w:uiPriority w:val="99"/>
    <w:semiHidden/>
    <w:rsid w:val="00CD0EBC"/>
    <w:pPr>
      <w:widowControl/>
      <w:ind w:firstLine="720"/>
      <w:jc w:val="both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096BB4"/>
    <w:pPr>
      <w:ind w:left="720"/>
      <w:contextualSpacing/>
    </w:pPr>
  </w:style>
  <w:style w:type="paragraph" w:customStyle="1" w:styleId="80">
    <w:name w:val="Основной текст (8)"/>
    <w:basedOn w:val="a"/>
    <w:link w:val="8"/>
    <w:uiPriority w:val="99"/>
    <w:qFormat/>
    <w:rsid w:val="0097313B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"/>
    <w:uiPriority w:val="99"/>
    <w:qFormat/>
    <w:rsid w:val="0097313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customStyle="1" w:styleId="22">
    <w:name w:val="Заголовок №2"/>
    <w:basedOn w:val="a"/>
    <w:uiPriority w:val="99"/>
    <w:qFormat/>
    <w:rsid w:val="0036055B"/>
    <w:pPr>
      <w:shd w:val="clear" w:color="auto" w:fill="FFFFFF"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f2">
    <w:name w:val="Balloon Text"/>
    <w:basedOn w:val="a"/>
    <w:uiPriority w:val="99"/>
    <w:semiHidden/>
    <w:unhideWhenUsed/>
    <w:qFormat/>
    <w:rsid w:val="00FF56A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0F1C3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0F1C34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3">
    <w:name w:val="No Spacing"/>
    <w:qFormat/>
    <w:rPr>
      <w:rFonts w:eastAsia="Times New Roman" w:cs="Calibri"/>
      <w:sz w:val="22"/>
      <w:lang w:eastAsia="zh-CN"/>
    </w:rPr>
  </w:style>
  <w:style w:type="paragraph" w:customStyle="1" w:styleId="af4">
    <w:name w:val="Верхний и нижний колонтитулы"/>
    <w:basedOn w:val="a"/>
    <w:qFormat/>
    <w:rsid w:val="00B21C73"/>
  </w:style>
  <w:style w:type="paragraph" w:customStyle="1" w:styleId="13">
    <w:name w:val="Верхний колонтитул1"/>
    <w:basedOn w:val="a"/>
    <w:qFormat/>
    <w:rsid w:val="00491145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000000"/>
    </w:rPr>
  </w:style>
  <w:style w:type="paragraph" w:customStyle="1" w:styleId="14">
    <w:name w:val="Нижний колонтитул1"/>
    <w:basedOn w:val="a"/>
    <w:uiPriority w:val="99"/>
    <w:unhideWhenUsed/>
    <w:qFormat/>
    <w:rsid w:val="00742BE1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B21C73"/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uiPriority w:val="59"/>
    <w:rsid w:val="00A62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D36C-8863-493D-9560-72C0AD85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2022-09-23T08:09:00Z</cp:lastPrinted>
  <dcterms:created xsi:type="dcterms:W3CDTF">2022-09-28T09:44:00Z</dcterms:created>
  <dcterms:modified xsi:type="dcterms:W3CDTF">2022-09-28T09:44:00Z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