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мес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</w:t>
      </w:r>
      <w:r w:rsidR="003C252C">
        <w:rPr>
          <w:rFonts w:ascii="Times New Roman" w:hAnsi="Times New Roman" w:cs="Times New Roman"/>
          <w:sz w:val="28"/>
          <w:szCs w:val="28"/>
        </w:rPr>
        <w:t>1</w:t>
      </w:r>
      <w:r w:rsidR="004F75F5">
        <w:rPr>
          <w:rFonts w:ascii="Times New Roman" w:hAnsi="Times New Roman" w:cs="Times New Roman"/>
          <w:sz w:val="28"/>
          <w:szCs w:val="28"/>
        </w:rPr>
        <w:t>.01.</w:t>
      </w:r>
      <w:r w:rsidR="003C252C">
        <w:rPr>
          <w:rFonts w:ascii="Times New Roman" w:hAnsi="Times New Roman" w:cs="Times New Roman"/>
          <w:sz w:val="28"/>
          <w:szCs w:val="28"/>
        </w:rPr>
        <w:t>2024 № 11</w:t>
      </w:r>
      <w:r w:rsidR="004F75F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 (утверждены цифры бюджета </w:t>
      </w:r>
      <w:r w:rsidR="003C252C">
        <w:rPr>
          <w:rFonts w:ascii="Times New Roman" w:hAnsi="Times New Roman" w:cs="Times New Roman"/>
          <w:sz w:val="28"/>
          <w:szCs w:val="28"/>
        </w:rPr>
        <w:t>2024</w:t>
      </w:r>
      <w:r w:rsidR="004F75F5">
        <w:rPr>
          <w:rFonts w:ascii="Times New Roman" w:hAnsi="Times New Roman" w:cs="Times New Roman"/>
          <w:sz w:val="28"/>
          <w:szCs w:val="28"/>
        </w:rPr>
        <w:t>-202</w:t>
      </w:r>
      <w:r w:rsidR="003C252C">
        <w:rPr>
          <w:rFonts w:ascii="Times New Roman" w:hAnsi="Times New Roman" w:cs="Times New Roman"/>
          <w:sz w:val="28"/>
          <w:szCs w:val="28"/>
        </w:rPr>
        <w:t>6</w:t>
      </w:r>
      <w:r w:rsidR="004F75F5">
        <w:rPr>
          <w:rFonts w:ascii="Times New Roman" w:hAnsi="Times New Roman" w:cs="Times New Roman"/>
          <w:sz w:val="28"/>
          <w:szCs w:val="28"/>
        </w:rPr>
        <w:t>г.г.)</w:t>
      </w:r>
      <w:r w:rsidR="00100632">
        <w:rPr>
          <w:rFonts w:ascii="Times New Roman" w:hAnsi="Times New Roman" w:cs="Times New Roman"/>
          <w:sz w:val="28"/>
          <w:szCs w:val="28"/>
        </w:rPr>
        <w:t>.</w:t>
      </w:r>
      <w:r w:rsidR="00E263E5" w:rsidRPr="00E263E5">
        <w:rPr>
          <w:rFonts w:ascii="Times New Roman" w:hAnsi="Times New Roman" w:cs="Times New Roman"/>
          <w:sz w:val="28"/>
          <w:szCs w:val="28"/>
        </w:rPr>
        <w:t xml:space="preserve"> </w:t>
      </w:r>
      <w:r w:rsidR="00E26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E263E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263E5">
        <w:rPr>
          <w:rFonts w:ascii="Times New Roman" w:hAnsi="Times New Roman" w:cs="Times New Roman"/>
          <w:sz w:val="28"/>
          <w:szCs w:val="28"/>
        </w:rPr>
        <w:t xml:space="preserve"> район   от </w:t>
      </w:r>
      <w:r w:rsidR="00E263E5" w:rsidRPr="008D446D">
        <w:rPr>
          <w:rFonts w:ascii="Times New Roman" w:hAnsi="Times New Roman" w:cs="Times New Roman"/>
          <w:sz w:val="28"/>
          <w:szCs w:val="28"/>
        </w:rPr>
        <w:t>1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.0</w:t>
      </w:r>
      <w:r w:rsidR="008D446D" w:rsidRPr="008D446D">
        <w:rPr>
          <w:rFonts w:ascii="Times New Roman" w:hAnsi="Times New Roman" w:cs="Times New Roman"/>
          <w:sz w:val="28"/>
          <w:szCs w:val="28"/>
        </w:rPr>
        <w:t>6</w:t>
      </w:r>
      <w:r w:rsidR="00E263E5" w:rsidRPr="008D446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D446D" w:rsidRPr="008D446D">
        <w:rPr>
          <w:rFonts w:ascii="Times New Roman" w:hAnsi="Times New Roman" w:cs="Times New Roman"/>
          <w:sz w:val="28"/>
          <w:szCs w:val="28"/>
        </w:rPr>
        <w:t>7</w:t>
      </w:r>
      <w:r w:rsidR="00E263E5" w:rsidRPr="008D446D">
        <w:rPr>
          <w:rFonts w:ascii="Times New Roman" w:hAnsi="Times New Roman" w:cs="Times New Roman"/>
          <w:sz w:val="28"/>
          <w:szCs w:val="28"/>
        </w:rPr>
        <w:t>11</w:t>
      </w:r>
      <w:r w:rsidR="00E263E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по уточнению бюджета №2. 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263E5">
        <w:rPr>
          <w:rFonts w:ascii="Times New Roman" w:hAnsi="Times New Roman" w:cs="Times New Roman"/>
          <w:b/>
          <w:i/>
          <w:sz w:val="28"/>
          <w:szCs w:val="28"/>
        </w:rPr>
        <w:t>6 мес.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E26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E263E5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мес.</w:t>
            </w:r>
          </w:p>
          <w:p w:rsidR="007832C6" w:rsidRDefault="003C252C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E263E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E263E5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2327,9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E263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63E5">
              <w:rPr>
                <w:rFonts w:ascii="Times New Roman" w:eastAsia="Times New Roman" w:hAnsi="Times New Roman" w:cs="Times New Roman"/>
                <w:lang w:eastAsia="ru-RU"/>
              </w:rPr>
              <w:t>5568,7</w:t>
            </w:r>
          </w:p>
        </w:tc>
        <w:tc>
          <w:tcPr>
            <w:tcW w:w="1103" w:type="dxa"/>
          </w:tcPr>
          <w:p w:rsidR="003F0C6A" w:rsidRDefault="00ED1706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7627,6</w:t>
            </w:r>
          </w:p>
          <w:p w:rsidR="004C7C4C" w:rsidRPr="00764730" w:rsidRDefault="004C7C4C" w:rsidP="00ED17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D1706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.12.202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и плановый период 202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и 2026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годов»:</w:t>
            </w:r>
          </w:p>
          <w:p w:rsidR="00E263E5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010032"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</w:t>
            </w:r>
          </w:p>
          <w:p w:rsidR="00BB1210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06.06.2024 №12/72 (уточнение бюджета №2)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E601A5" w:rsidRPr="00CF0704" w:rsidRDefault="00E601A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24.01.2024г. №7/2 (уточнение №1),</w:t>
            </w:r>
          </w:p>
          <w:p w:rsidR="00E263E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</w:p>
          <w:p w:rsidR="00CB5E05" w:rsidRDefault="00E263E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30.05.2024г. №11/1 (уточнение №3)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E74882" w:rsidRPr="00764730" w:rsidRDefault="0085545D" w:rsidP="00ED17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C90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D1706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11</w:t>
            </w:r>
            <w:r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37269A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5553ED" w:rsidRPr="00ED170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E263E5" w:rsidP="00E263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мес.2024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</w:t>
            </w:r>
            <w:r w:rsidR="00F75952">
              <w:rPr>
                <w:rFonts w:ascii="Times New Roman" w:hAnsi="Times New Roman" w:cs="Times New Roman"/>
              </w:rPr>
              <w:t>3</w:t>
            </w:r>
            <w:r w:rsidR="003B5E5F">
              <w:rPr>
                <w:rFonts w:ascii="Times New Roman" w:hAnsi="Times New Roman" w:cs="Times New Roman"/>
              </w:rPr>
              <w:t xml:space="preserve"> год предоставл</w:t>
            </w:r>
            <w:r w:rsidR="004A6A58">
              <w:rPr>
                <w:rFonts w:ascii="Times New Roman" w:hAnsi="Times New Roman" w:cs="Times New Roman"/>
              </w:rPr>
              <w:t>ен</w:t>
            </w:r>
            <w:r w:rsidR="003B5E5F">
              <w:rPr>
                <w:rFonts w:ascii="Times New Roman" w:hAnsi="Times New Roman" w:cs="Times New Roman"/>
              </w:rPr>
              <w:t xml:space="preserve"> в срок до 20.04.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3B5E5F">
              <w:rPr>
                <w:rFonts w:ascii="Times New Roman" w:hAnsi="Times New Roman" w:cs="Times New Roman"/>
              </w:rPr>
              <w:t>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752E3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мес.2024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налоговых и неналоговых доходов в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сумме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80BB0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257015,0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C5763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1D65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1D65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 1</w:t>
            </w:r>
            <w:r w:rsidR="00752E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-го полугодия</w:t>
            </w:r>
            <w:r w:rsidR="003066E2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210297,0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A73EBF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257015,0</w:t>
            </w:r>
            <w:r w:rsidR="00B66321"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73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E263E5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E263E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A73EBF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B421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CF1D65" w:rsidRDefault="00CF1D6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A73E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19.12.2019 №21/123 «Об утверждении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 поселений 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равный 0,</w:t>
            </w:r>
            <w:r w:rsidR="003C2071" w:rsidRPr="003C20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C65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323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31,6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Default="00A73EBF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6 мес.</w:t>
            </w:r>
            <w:r w:rsidR="003C252C" w:rsidRPr="00CF1D6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</w:t>
            </w:r>
            <w:r w:rsidR="004D0279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1F4066" w:rsidRPr="00CF1D65"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1F4066" w:rsidRPr="00F57236" w:rsidRDefault="00F57236" w:rsidP="001F40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proofErr w:type="spell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15,8</w:t>
            </w:r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F4066" w:rsidRP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4066" w:rsidRPr="00F5723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Pr="00F5723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1F4066" w:rsidP="00F572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57236" w:rsidRPr="00F57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03A24" w:rsidRPr="00F57236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572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1A096C" w:rsidRPr="00825EF7" w:rsidRDefault="00532D31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6640,8</w:t>
            </w:r>
          </w:p>
        </w:tc>
        <w:tc>
          <w:tcPr>
            <w:tcW w:w="1103" w:type="dxa"/>
          </w:tcPr>
          <w:p w:rsidR="004C7C4C" w:rsidRDefault="00F57236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3163,4</w:t>
            </w:r>
          </w:p>
          <w:p w:rsidR="00D61AFA" w:rsidRPr="00825EF7" w:rsidRDefault="00D61AFA" w:rsidP="00F572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</w:t>
            </w:r>
            <w:r w:rsidR="00C45E96">
              <w:rPr>
                <w:rFonts w:ascii="Times New Roman" w:hAnsi="Times New Roman" w:cs="Times New Roman"/>
              </w:rPr>
              <w:lastRenderedPageBreak/>
              <w:t xml:space="preserve">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 xml:space="preserve">, а также в случаях недостаточности  доходов </w:t>
            </w:r>
            <w:r w:rsidR="00F57236">
              <w:rPr>
                <w:rFonts w:ascii="Times New Roman" w:hAnsi="Times New Roman" w:cs="Times New Roman"/>
              </w:rPr>
              <w:t xml:space="preserve"> их </w:t>
            </w:r>
            <w:r w:rsidR="008F4AFF">
              <w:rPr>
                <w:rFonts w:ascii="Times New Roman" w:hAnsi="Times New Roman" w:cs="Times New Roman"/>
              </w:rPr>
              <w:t>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57236" w:rsidRDefault="00F57236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236">
              <w:rPr>
                <w:rFonts w:ascii="Times New Roman" w:hAnsi="Times New Roman" w:cs="Times New Roman"/>
              </w:rPr>
              <w:t xml:space="preserve">В соответствии  с решением Собрания представителей МО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от 06.06.2024 №12/77 «О предоставлении из бюджета муниципального образования </w:t>
            </w:r>
            <w:proofErr w:type="spellStart"/>
            <w:r w:rsidRPr="00F57236"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Pr="00F57236">
              <w:rPr>
                <w:rFonts w:ascii="Times New Roman" w:hAnsi="Times New Roman" w:cs="Times New Roman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поселений» увеличены плановые назначения по иным</w:t>
            </w:r>
            <w:r>
              <w:rPr>
                <w:rFonts w:ascii="Times New Roman" w:hAnsi="Times New Roman" w:cs="Times New Roman"/>
              </w:rPr>
              <w:t xml:space="preserve"> МБТ на поддержку МО </w:t>
            </w:r>
            <w:proofErr w:type="spellStart"/>
            <w:r>
              <w:rPr>
                <w:rFonts w:ascii="Times New Roman" w:hAnsi="Times New Roman" w:cs="Times New Roman"/>
              </w:rPr>
              <w:t>Грицовское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6640,8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87DEA" w:rsidRPr="00764730" w:rsidRDefault="00D61AFA" w:rsidP="00F572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E5" w:rsidRPr="00E263E5">
              <w:rPr>
                <w:rFonts w:ascii="Times New Roman" w:eastAsia="Times New Roman" w:hAnsi="Times New Roman" w:cs="Times New Roman"/>
                <w:lang w:eastAsia="ru-RU"/>
              </w:rPr>
              <w:t>6 мес.2024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3163,4</w:t>
            </w:r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 xml:space="preserve"> (47,6% от плана).</w:t>
            </w: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 w:rsidRPr="00532D3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C2458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32EFB">
              <w:rPr>
                <w:rFonts w:ascii="Times New Roman" w:eastAsia="Times New Roman" w:hAnsi="Times New Roman" w:cs="Times New Roman"/>
                <w:lang w:eastAsia="ru-RU"/>
              </w:rPr>
              <w:t>827,9</w:t>
            </w:r>
          </w:p>
        </w:tc>
        <w:tc>
          <w:tcPr>
            <w:tcW w:w="943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8827,9</w:t>
            </w:r>
          </w:p>
        </w:tc>
        <w:tc>
          <w:tcPr>
            <w:tcW w:w="1103" w:type="dxa"/>
          </w:tcPr>
          <w:p w:rsidR="004C7C4C" w:rsidRDefault="00F57236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BA76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  <w:p w:rsidR="0074106B" w:rsidRPr="00825EF7" w:rsidRDefault="0074106B" w:rsidP="00BA76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723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BA76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0 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C252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8827,9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022,6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2710,0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1379,0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716,3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36029D" w:rsidRPr="00360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  <w:r w:rsidR="00D866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57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</w:t>
            </w:r>
            <w:r w:rsidR="00F57236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50A68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521BDC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2011,2</w:t>
            </w:r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1355,4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521BDC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689,4</w:t>
            </w:r>
            <w:r w:rsidR="00FD1080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521BDC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521BDC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358,2</w:t>
            </w:r>
            <w:r w:rsidR="00FD1080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410842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2754,2</w:t>
            </w:r>
          </w:p>
        </w:tc>
        <w:tc>
          <w:tcPr>
            <w:tcW w:w="943" w:type="dxa"/>
          </w:tcPr>
          <w:p w:rsidR="00CF26CB" w:rsidRDefault="00A3148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0842">
              <w:rPr>
                <w:rFonts w:ascii="Times New Roman" w:eastAsia="Times New Roman" w:hAnsi="Times New Roman" w:cs="Times New Roman"/>
                <w:lang w:eastAsia="ru-RU"/>
              </w:rPr>
              <w:t>004,2</w:t>
            </w:r>
          </w:p>
        </w:tc>
        <w:tc>
          <w:tcPr>
            <w:tcW w:w="1103" w:type="dxa"/>
          </w:tcPr>
          <w:p w:rsidR="00CF26CB" w:rsidRDefault="00521BD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1130,3</w:t>
            </w:r>
          </w:p>
          <w:p w:rsidR="002C1BDD" w:rsidRDefault="002C1BDD" w:rsidP="0052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21BDC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бюджетов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</w:t>
            </w:r>
            <w:r w:rsidR="005A02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приказом финансового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10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36029D" w:rsidRPr="00866D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858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144C6E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93188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8002F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  <w:p w:rsidR="0085545D" w:rsidRDefault="0085545D" w:rsidP="00532D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консолидированного бюджета муниципального 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="00E263E5" w:rsidRPr="00E263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мес.2024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полном объеме и в установленный срок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10842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32D31" w:rsidRPr="00521B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июля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532D31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464D7C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в  сумме </w:t>
            </w:r>
            <w:r w:rsidR="000858B1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A02C0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4631B8" w:rsidRDefault="00532D31" w:rsidP="00532D3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мес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C252C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A47477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</w:t>
            </w:r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резервного фонда было выделено 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250,0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 ремонт системы отопления МОУ  «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ЦО им. Д.С.</w:t>
            </w:r>
            <w:r w:rsid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Сидорова» (постановление АМО </w:t>
            </w:r>
            <w:proofErr w:type="spellStart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47477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02.02.2024 №126)</w:t>
            </w:r>
            <w:r w:rsidR="00777336" w:rsidRPr="0032666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64D7C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943" w:type="dxa"/>
          </w:tcPr>
          <w:p w:rsidR="00777336" w:rsidRPr="00825EF7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03" w:type="dxa"/>
          </w:tcPr>
          <w:p w:rsidR="00777336" w:rsidRDefault="00364CC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383,5</w:t>
            </w:r>
          </w:p>
          <w:p w:rsidR="00777336" w:rsidRPr="00825EF7" w:rsidRDefault="00777336" w:rsidP="00364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4E0A91" w:rsidP="00E533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</w:t>
            </w:r>
            <w:r>
              <w:rPr>
                <w:rFonts w:ascii="Times New Roman" w:hAnsi="Times New Roman" w:cs="Times New Roman"/>
              </w:rPr>
              <w:t xml:space="preserve">регулирует </w:t>
            </w:r>
            <w:r w:rsidR="000317B8">
              <w:rPr>
                <w:rFonts w:ascii="Times New Roman" w:hAnsi="Times New Roman" w:cs="Times New Roman"/>
              </w:rPr>
              <w:t xml:space="preserve">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 w:rsidR="00031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ыплата ежемесячной доплаты к трудовой пенсии </w:t>
            </w:r>
            <w:proofErr w:type="gram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D80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замещавшим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дминистрацией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D44C30" w:rsidRDefault="00532D31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44C30" w:rsidRDefault="00532D31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464D7C" w:rsidP="008E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</w:tcPr>
          <w:p w:rsidR="004E41B0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03" w:type="dxa"/>
          </w:tcPr>
          <w:p w:rsidR="004E41B0" w:rsidRDefault="00364CCF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  <w:p w:rsidR="004E0A91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D44C30" w:rsidP="00364C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Выплата материальной помощи  осуществляется в 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532D31" w:rsidRPr="00364CCF"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 w:rsidRPr="00364C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выплат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материальной помощи произв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едена  </w:t>
            </w:r>
            <w:r w:rsidR="00364CCF" w:rsidRPr="00364CCF">
              <w:rPr>
                <w:rFonts w:ascii="Times New Roman" w:eastAsia="Times New Roman" w:hAnsi="Times New Roman" w:cs="Times New Roman"/>
                <w:lang w:eastAsia="ru-RU"/>
              </w:rPr>
              <w:t>десяти</w:t>
            </w:r>
            <w:r w:rsidR="00DA5885" w:rsidRPr="00364CCF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</w:t>
            </w:r>
            <w:r w:rsidR="005D539D" w:rsidRPr="00364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77336" w:rsidRPr="00764730" w:rsidTr="00134CFD">
        <w:trPr>
          <w:trHeight w:val="5161"/>
        </w:trPr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D44C30" w:rsidRDefault="00364CCF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604,3</w:t>
            </w:r>
          </w:p>
          <w:p w:rsidR="00777336" w:rsidRPr="00825EF7" w:rsidRDefault="00777336" w:rsidP="00364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4CCF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атеринский капитал с 01.01.202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составил  на 2-го ребенка – 1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 xml:space="preserve">5304,20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73018">
              <w:rPr>
                <w:rFonts w:ascii="Times New Roman" w:eastAsia="Times New Roman" w:hAnsi="Times New Roman" w:cs="Times New Roman"/>
                <w:lang w:eastAsia="ru-RU"/>
              </w:rPr>
              <w:t>2735,82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5D34F0" w:rsidRPr="00764730" w:rsidRDefault="00464D7C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9C4A4E" w:rsidRDefault="00777336" w:rsidP="00D44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</w:t>
            </w:r>
            <w:r w:rsidR="00D44C30"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9C4A4E" w:rsidRDefault="00777336" w:rsidP="00DD3A3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777336" w:rsidRDefault="003D4B27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34CFD" w:rsidRDefault="00134CFD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DA5885" w:rsidRDefault="00C0791F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C0791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денежной выплаты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 с 01.01.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91F">
              <w:rPr>
                <w:rFonts w:ascii="Times New Roman" w:eastAsia="Times New Roman" w:hAnsi="Times New Roman" w:cs="Times New Roman"/>
                <w:lang w:eastAsia="ru-RU"/>
              </w:rPr>
              <w:t>6123,33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 w:rsidRPr="00EE5E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Pr="00EE5E9A" w:rsidRDefault="00B1566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433,9</w:t>
            </w:r>
          </w:p>
          <w:p w:rsidR="00777336" w:rsidRPr="00EE5E9A" w:rsidRDefault="00777336" w:rsidP="000E7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1566B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825EF7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Default="00707F7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433,9</w:t>
            </w:r>
          </w:p>
          <w:p w:rsidR="00777336" w:rsidRPr="00825EF7" w:rsidRDefault="00777336" w:rsidP="000E7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07F79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="000E79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4B238C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26.11.2020г. № 19-04-04-07/12 на сумму 14500,00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г. Бюджетный кредит  предоставлен из бюджета Тульской области на покрытие кассового разрыва дефицита бюджета, проценты за 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пользование кредитом взимаются по ставк</w:t>
            </w:r>
            <w:r w:rsidR="00F927F2">
              <w:rPr>
                <w:rFonts w:ascii="Times New Roman" w:eastAsia="Times New Roman" w:hAnsi="Times New Roman" w:cs="Times New Roman"/>
                <w:lang w:eastAsia="ru-RU"/>
              </w:rPr>
              <w:t>е 2,13% годовых.</w:t>
            </w:r>
          </w:p>
          <w:p w:rsidR="006E7A8B" w:rsidRDefault="00F927F2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от 10.12.2021 №19-03-04-07/37 на сумму 5000,0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="00FD071D"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FD071D"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FD071D" w:rsidRPr="00F927F2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Договор от 28.12.2022 №19-03-04-03/58 на 6000,0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E2D50" w:rsidRPr="00A214A1" w:rsidRDefault="00F927F2" w:rsidP="003E2D5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3E2D50" w:rsidRPr="003E2D50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26.07.2023 №19-03-04-03/08 на 15000,0 </w:t>
            </w:r>
            <w:proofErr w:type="spell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>, срок погашения - 01.06.2028г.</w:t>
            </w:r>
            <w:r w:rsidR="003E2D50" w:rsidRPr="00A214A1">
              <w:t xml:space="preserve"> </w:t>
            </w:r>
            <w:r w:rsidR="003E2D50" w:rsidRPr="00A21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D50"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ставке 4,25% годовых. Бюджетный кредит  предоставлен из бюджета Тульской области для </w:t>
            </w:r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Веневский</w:t>
            </w:r>
            <w:proofErr w:type="spellEnd"/>
            <w:r w:rsidR="003E2D50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Pr="006F77AF" w:rsidRDefault="00F927F2" w:rsidP="00FD07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  <w:r w:rsidR="00FD071D"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 срок погашения – 31.12.2024г.,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процентная ставка – 9,6443%. </w:t>
            </w:r>
            <w:r w:rsidR="00FD071D" w:rsidRPr="00F52F7C">
              <w:rPr>
                <w:rFonts w:ascii="Times New Roman" w:eastAsia="Times New Roman" w:hAnsi="Times New Roman" w:cs="Times New Roman"/>
                <w:i/>
                <w:lang w:eastAsia="ar-SA"/>
              </w:rPr>
              <w:t>Коммерческий кредит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4B238C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2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01.0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FD071D" w:rsidRPr="000D7E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27F2">
              <w:rPr>
                <w:rFonts w:ascii="Times New Roman" w:eastAsia="Times New Roman" w:hAnsi="Times New Roman" w:cs="Times New Roman"/>
                <w:lang w:eastAsia="ru-RU"/>
              </w:rPr>
              <w:t>3950,0</w:t>
            </w:r>
            <w:r w:rsidR="002F70E9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руб. не превышает предельный объем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57660,0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2.202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За 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–й квартал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</w:t>
            </w:r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снизился на </w:t>
            </w:r>
            <w:r w:rsidR="002F70E9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755,0</w:t>
            </w:r>
            <w:r w:rsidR="00777336" w:rsidRPr="002062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4B238C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объем расходов на обслуживание муниципального долга 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927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433,9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 предельный объем расходов на обслуживание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712,3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1136,8</w:t>
            </w:r>
          </w:p>
        </w:tc>
        <w:tc>
          <w:tcPr>
            <w:tcW w:w="943" w:type="dxa"/>
          </w:tcPr>
          <w:p w:rsidR="00777336" w:rsidRPr="00771697" w:rsidRDefault="00EE5E9A" w:rsidP="0053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2D31">
              <w:rPr>
                <w:rFonts w:ascii="Times New Roman" w:eastAsia="Times New Roman" w:hAnsi="Times New Roman" w:cs="Times New Roman"/>
                <w:lang w:eastAsia="ru-RU"/>
              </w:rPr>
              <w:t>2159,1</w:t>
            </w:r>
          </w:p>
        </w:tc>
        <w:tc>
          <w:tcPr>
            <w:tcW w:w="1103" w:type="dxa"/>
          </w:tcPr>
          <w:p w:rsidR="00777336" w:rsidRDefault="00BC7AC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4958,7</w:t>
            </w:r>
          </w:p>
          <w:p w:rsidR="00777336" w:rsidRPr="00825EF7" w:rsidRDefault="00777336" w:rsidP="00BC7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532D31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9579,5</w:t>
            </w:r>
          </w:p>
        </w:tc>
        <w:tc>
          <w:tcPr>
            <w:tcW w:w="943" w:type="dxa"/>
          </w:tcPr>
          <w:p w:rsidR="00777336" w:rsidRPr="00EF3048" w:rsidRDefault="00532D31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10516,8</w:t>
            </w:r>
          </w:p>
        </w:tc>
        <w:tc>
          <w:tcPr>
            <w:tcW w:w="1103" w:type="dxa"/>
          </w:tcPr>
          <w:p w:rsidR="00EE5E9A" w:rsidRDefault="00BC7ACA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4296,8</w:t>
            </w:r>
          </w:p>
          <w:p w:rsidR="00777336" w:rsidRPr="00825EF7" w:rsidRDefault="004E6ED9" w:rsidP="00BC7A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C7A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</w:t>
            </w:r>
          </w:p>
        </w:tc>
        <w:tc>
          <w:tcPr>
            <w:tcW w:w="1867" w:type="dxa"/>
          </w:tcPr>
          <w:p w:rsidR="00777336" w:rsidRDefault="00532D31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мес.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CB049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мес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1557,3</w:t>
            </w:r>
          </w:p>
        </w:tc>
        <w:tc>
          <w:tcPr>
            <w:tcW w:w="943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1642,3</w:t>
            </w:r>
          </w:p>
        </w:tc>
        <w:tc>
          <w:tcPr>
            <w:tcW w:w="1103" w:type="dxa"/>
          </w:tcPr>
          <w:p w:rsidR="00777336" w:rsidRDefault="00BC7AC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661,9</w:t>
            </w:r>
          </w:p>
          <w:p w:rsidR="00777336" w:rsidRPr="00825EF7" w:rsidRDefault="00777336" w:rsidP="00AB68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40,3%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9931,2</w:t>
            </w:r>
          </w:p>
        </w:tc>
        <w:tc>
          <w:tcPr>
            <w:tcW w:w="943" w:type="dxa"/>
          </w:tcPr>
          <w:p w:rsidR="00777336" w:rsidRPr="00825EF7" w:rsidRDefault="00CB049A" w:rsidP="00A3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34144,3</w:t>
            </w:r>
          </w:p>
        </w:tc>
        <w:tc>
          <w:tcPr>
            <w:tcW w:w="1103" w:type="dxa"/>
          </w:tcPr>
          <w:p w:rsidR="00777336" w:rsidRDefault="00AB68EA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15150,5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B68EA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CB049A">
        <w:rPr>
          <w:rFonts w:ascii="Times New Roman" w:eastAsia="Calibri" w:hAnsi="Times New Roman" w:cs="Times New Roman"/>
          <w:b/>
          <w:bCs/>
          <w:sz w:val="28"/>
          <w:szCs w:val="28"/>
        </w:rPr>
        <w:t>6 мес.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252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Default="00A70B42" w:rsidP="0086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8621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3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8553F6" w:rsidRDefault="00167E59" w:rsidP="008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3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553F6">
              <w:rPr>
                <w:rFonts w:ascii="Times New Roman" w:hAnsi="Times New Roman"/>
                <w:sz w:val="24"/>
                <w:szCs w:val="24"/>
              </w:rPr>
              <w:t>,</w:t>
            </w:r>
            <w:r w:rsidR="008553F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049A">
              <w:rPr>
                <w:rFonts w:ascii="Times New Roman" w:hAnsi="Times New Roman"/>
                <w:sz w:val="24"/>
                <w:szCs w:val="24"/>
              </w:rPr>
              <w:t>За 6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49A">
              <w:rPr>
                <w:rFonts w:ascii="Times New Roman" w:hAnsi="Times New Roman"/>
                <w:sz w:val="24"/>
                <w:szCs w:val="24"/>
              </w:rPr>
              <w:t>мес.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8553F6">
              <w:rPr>
                <w:rFonts w:ascii="Times New Roman" w:hAnsi="Times New Roman"/>
                <w:sz w:val="24"/>
                <w:szCs w:val="24"/>
              </w:rPr>
              <w:t>41,7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855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53F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r w:rsidR="00A70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="00A70B42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2A09C7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>
              <w:rPr>
                <w:rFonts w:ascii="Times New Roman" w:hAnsi="Times New Roman"/>
                <w:sz w:val="24"/>
                <w:szCs w:val="24"/>
              </w:rPr>
              <w:t xml:space="preserve"> (31.12.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C4436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70B42" w:rsidRPr="002A09C7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F66CD" w:rsidRDefault="002D6E99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66C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F66CD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 w:rsidP="00F55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="00853EF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220F09" w:rsidRPr="002D6E99">
              <w:rPr>
                <w:rFonts w:ascii="Times New Roman" w:hAnsi="Times New Roman"/>
                <w:sz w:val="24"/>
                <w:szCs w:val="24"/>
              </w:rPr>
              <w:t>9</w:t>
            </w:r>
            <w:r w:rsidR="00F55E4D">
              <w:rPr>
                <w:rFonts w:ascii="Times New Roman" w:hAnsi="Times New Roman"/>
                <w:sz w:val="24"/>
                <w:szCs w:val="24"/>
              </w:rPr>
              <w:t>5,2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65620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Pr="001F66CD" w:rsidRDefault="00A70B42" w:rsidP="00965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Просроченная кредиторская задолженность  </w:t>
            </w:r>
            <w:r w:rsidR="008553F6">
              <w:rPr>
                <w:rFonts w:ascii="Times New Roman" w:hAnsi="Times New Roman"/>
                <w:sz w:val="24"/>
                <w:szCs w:val="24"/>
              </w:rPr>
              <w:t xml:space="preserve">на 01.07.24 </w:t>
            </w:r>
            <w:r w:rsidR="00794E5E">
              <w:rPr>
                <w:rFonts w:ascii="Times New Roman" w:hAnsi="Times New Roman"/>
                <w:sz w:val="24"/>
                <w:szCs w:val="24"/>
              </w:rPr>
              <w:t>–</w:t>
            </w:r>
            <w:r w:rsidR="0085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620">
              <w:rPr>
                <w:rFonts w:ascii="Times New Roman" w:hAnsi="Times New Roman"/>
                <w:sz w:val="24"/>
                <w:szCs w:val="24"/>
              </w:rPr>
              <w:t>19982,8</w:t>
            </w:r>
            <w:r w:rsidR="0079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E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94E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94E5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94E5E">
              <w:rPr>
                <w:rFonts w:ascii="Times New Roman" w:hAnsi="Times New Roman"/>
                <w:sz w:val="24"/>
                <w:szCs w:val="24"/>
              </w:rPr>
              <w:t>.</w:t>
            </w:r>
            <w:r w:rsidR="00965620">
              <w:rPr>
                <w:rFonts w:ascii="Times New Roman" w:hAnsi="Times New Roman"/>
                <w:sz w:val="24"/>
                <w:szCs w:val="24"/>
              </w:rPr>
              <w:t>, к концу 2024 года будет оплачена, согласно графика погашения.</w:t>
            </w:r>
            <w:bookmarkStart w:id="0" w:name="_GoBack"/>
            <w:bookmarkEnd w:id="0"/>
          </w:p>
        </w:tc>
      </w:tr>
      <w:tr w:rsidR="00A70B42" w:rsidRPr="002A09C7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1F66CD" w:rsidP="0084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степень покрытия муниципального долга собственными доходными источниками, он должен быть меньше 1(в нашем случае он равен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</w:t>
            </w:r>
            <w:r w:rsidR="001F66CD">
              <w:rPr>
                <w:rFonts w:ascii="Times New Roman" w:hAnsi="Times New Roman"/>
                <w:sz w:val="24"/>
                <w:szCs w:val="24"/>
              </w:rPr>
              <w:t>19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66C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6E99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/>
                <w:sz w:val="18"/>
                <w:szCs w:val="18"/>
              </w:rPr>
              <w:t>/факт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Default="00A70B42" w:rsidP="001F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обслуживанию муниципального долга в общей сумме расходов бюджета. Его предельное значение 0,15 (в нашем случае –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0,00</w:t>
            </w:r>
            <w:r w:rsidR="001F66CD">
              <w:rPr>
                <w:rFonts w:ascii="Times New Roman" w:hAnsi="Times New Roman"/>
                <w:sz w:val="24"/>
                <w:szCs w:val="24"/>
              </w:rPr>
              <w:t>2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B049A" w:rsidP="00CB0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Полугодовой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отчет сдан в Министерство финансов Тульской области в срок (</w:t>
            </w:r>
            <w:r w:rsidR="00173B78" w:rsidRPr="00092415">
              <w:rPr>
                <w:rFonts w:ascii="Times New Roman" w:hAnsi="Times New Roman"/>
                <w:sz w:val="24"/>
                <w:szCs w:val="24"/>
              </w:rPr>
              <w:t>08</w:t>
            </w:r>
            <w:r w:rsidR="00A70B42" w:rsidRPr="00092415">
              <w:rPr>
                <w:rFonts w:ascii="Times New Roman" w:hAnsi="Times New Roman"/>
                <w:sz w:val="24"/>
                <w:szCs w:val="24"/>
              </w:rPr>
              <w:t>.0</w:t>
            </w:r>
            <w:r w:rsidRPr="00092415">
              <w:rPr>
                <w:rFonts w:ascii="Times New Roman" w:hAnsi="Times New Roman"/>
                <w:sz w:val="24"/>
                <w:szCs w:val="24"/>
              </w:rPr>
              <w:t>7</w:t>
            </w:r>
            <w:r w:rsidR="00B045F6" w:rsidRPr="00092415">
              <w:rPr>
                <w:rFonts w:ascii="Times New Roman" w:hAnsi="Times New Roman"/>
                <w:sz w:val="24"/>
                <w:szCs w:val="24"/>
              </w:rPr>
              <w:t>.</w:t>
            </w:r>
            <w:r w:rsidR="003C252C" w:rsidRPr="00092415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766BEF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мес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CB0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020EBD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20E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44553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</w:t>
            </w: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Выплата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85-1004-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020EBD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020EBD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4455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2695,4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A44553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1096,8</w:t>
            </w:r>
          </w:p>
          <w:p w:rsidR="00020EBD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1096,8</w:t>
            </w:r>
          </w:p>
          <w:p w:rsidR="00020EBD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Pr="00313A30" w:rsidRDefault="00020EB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4296,8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CB0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CB0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0540400190-120</w:t>
            </w:r>
          </w:p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6AC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1599,7</w:t>
            </w:r>
          </w:p>
          <w:p w:rsidR="00491437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437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619,6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619,6</w:t>
            </w: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0EBD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FC1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 w:rsidR="00FC1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CB049A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020EBD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C1236" w:rsidRDefault="00FC1236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ED" w:rsidRPr="00490BC5" w:rsidRDefault="005F1945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5">
        <w:rPr>
          <w:rFonts w:ascii="Times New Roman" w:hAnsi="Times New Roman" w:cs="Times New Roman"/>
          <w:b/>
          <w:sz w:val="24"/>
          <w:szCs w:val="24"/>
        </w:rPr>
        <w:t xml:space="preserve">Реестр принятых </w:t>
      </w:r>
      <w:r w:rsidR="00FC1236">
        <w:rPr>
          <w:rFonts w:ascii="Times New Roman" w:hAnsi="Times New Roman" w:cs="Times New Roman"/>
          <w:b/>
          <w:sz w:val="24"/>
          <w:szCs w:val="24"/>
        </w:rPr>
        <w:t>за 6 мес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252C" w:rsidRPr="00490BC5">
        <w:rPr>
          <w:rFonts w:ascii="Times New Roman" w:hAnsi="Times New Roman" w:cs="Times New Roman"/>
          <w:b/>
          <w:sz w:val="24"/>
          <w:szCs w:val="24"/>
        </w:rPr>
        <w:t>2024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519"/>
        <w:gridCol w:w="12606"/>
      </w:tblGrid>
      <w:tr w:rsidR="005F1945" w:rsidRPr="00490BC5" w:rsidTr="00844133">
        <w:tc>
          <w:tcPr>
            <w:tcW w:w="725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9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490BC5" w:rsidRDefault="00490BC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="0064597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06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844133" w:rsidRPr="00490BC5" w:rsidTr="00844133">
        <w:tc>
          <w:tcPr>
            <w:tcW w:w="725" w:type="dxa"/>
          </w:tcPr>
          <w:p w:rsidR="00844133" w:rsidRPr="00942C43" w:rsidRDefault="00844133" w:rsidP="00F5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44133" w:rsidRPr="00844133" w:rsidRDefault="00844133" w:rsidP="00F5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88 от </w:t>
            </w:r>
            <w:r w:rsidRPr="008441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lastRenderedPageBreak/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от 29.12.2023 № 1728 «Об утверждении Порядка составления и утверждения отчета  о результатах  деятельности муниципального учреждения  и утверждении  отчета  о результатах </w:t>
            </w: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муниципального  учреждения 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 и об использовании  закрепленного за ним муниципального имущества»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114 от 31.01.2024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117 от 01.02.2024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FB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42C43" w:rsidRPr="00844133" w:rsidRDefault="00942C43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8/49 от 05.03.2024</w:t>
            </w:r>
          </w:p>
        </w:tc>
        <w:tc>
          <w:tcPr>
            <w:tcW w:w="12606" w:type="dxa"/>
          </w:tcPr>
          <w:p w:rsidR="00942C43" w:rsidRPr="00844133" w:rsidRDefault="00942C43" w:rsidP="00FB4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gramEnd"/>
          </w:p>
          <w:p w:rsidR="00942C43" w:rsidRPr="00844133" w:rsidRDefault="00942C43" w:rsidP="00942C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844133" w:rsidTr="00844133">
        <w:tc>
          <w:tcPr>
            <w:tcW w:w="725" w:type="dxa"/>
          </w:tcPr>
          <w:p w:rsidR="0084413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8/50 от 05.03.2024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рассмотрении протеста прокурора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Тульской области на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№53/418 от 25.12.2013 года «Об утверждении Положения о бюджетном процессе в муниципальном образовании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942C43" w:rsidRPr="00844133" w:rsidRDefault="0066204C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42C43" w:rsidRPr="00844133">
              <w:rPr>
                <w:rFonts w:ascii="Times New Roman" w:hAnsi="Times New Roman" w:cs="Times New Roman"/>
                <w:sz w:val="20"/>
                <w:szCs w:val="20"/>
              </w:rPr>
              <w:t>№ 384 от 26.03.2024</w:t>
            </w:r>
          </w:p>
        </w:tc>
        <w:tc>
          <w:tcPr>
            <w:tcW w:w="12606" w:type="dxa"/>
          </w:tcPr>
          <w:p w:rsidR="00942C43" w:rsidRPr="00844133" w:rsidRDefault="00942C43" w:rsidP="00942C43">
            <w:pPr>
              <w:widowControl w:val="0"/>
              <w:suppressAutoHyphens/>
              <w:rPr>
                <w:sz w:val="20"/>
                <w:szCs w:val="20"/>
              </w:rPr>
            </w:pPr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 от 02.09.2019 № 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490 от 12.04.2024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 утверждении Порядка проведения мониторинга кредиторской задолженности муниципальных (казенных, бюджетных и автономных) учреждений </w:t>
            </w:r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563 от 13.05.2024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692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Cs/>
                <w:color w:val="000000"/>
                <w:sz w:val="20"/>
                <w:szCs w:val="20"/>
              </w:rPr>
            </w:pPr>
            <w:r w:rsidRPr="00ED1706">
              <w:rPr>
                <w:sz w:val="20"/>
                <w:szCs w:val="20"/>
              </w:rPr>
              <w:t xml:space="preserve">Порядок проведения мониторинга кредиторской задолженности бюджета и бюджетных учреждений муниципального образования </w:t>
            </w:r>
            <w:proofErr w:type="spellStart"/>
            <w:r w:rsidRPr="00ED1706">
              <w:rPr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sz w:val="20"/>
                <w:szCs w:val="20"/>
              </w:rPr>
              <w:t xml:space="preserve"> район и мер по реструктуризации просроченной кредиторской задолженности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19" w:type="dxa"/>
          </w:tcPr>
          <w:p w:rsidR="00ED1706" w:rsidRPr="00ED1706" w:rsidRDefault="00ED1706" w:rsidP="00ED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12/77 от 06.06.2024</w:t>
            </w:r>
          </w:p>
        </w:tc>
        <w:tc>
          <w:tcPr>
            <w:tcW w:w="12606" w:type="dxa"/>
          </w:tcPr>
          <w:p w:rsidR="00ED1706" w:rsidRPr="00ED1706" w:rsidRDefault="00ED1706" w:rsidP="00ED1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из бюджета муниципального образования </w:t>
            </w:r>
            <w:proofErr w:type="spell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район в 2024 году иных межбюджетных трансфертов бюджетам муниципальных образований поселений на реализацию дополнительных </w:t>
            </w:r>
            <w:proofErr w:type="gramStart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мер поддержки бюджетов муниципальных образований поселений</w:t>
            </w:r>
            <w:proofErr w:type="gramEnd"/>
            <w:r w:rsidRPr="00ED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1706" w:rsidTr="00844133">
        <w:tc>
          <w:tcPr>
            <w:tcW w:w="725" w:type="dxa"/>
          </w:tcPr>
          <w:p w:rsidR="00ED1706" w:rsidRDefault="00ED1706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19" w:type="dxa"/>
          </w:tcPr>
          <w:p w:rsidR="00ED1706" w:rsidRPr="00ED1706" w:rsidRDefault="00ED1706" w:rsidP="004A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706">
              <w:rPr>
                <w:rFonts w:ascii="Times New Roman" w:hAnsi="Times New Roman" w:cs="Times New Roman"/>
                <w:sz w:val="20"/>
                <w:szCs w:val="20"/>
              </w:rPr>
              <w:t>№ 693 от 13.06.2024</w:t>
            </w:r>
          </w:p>
        </w:tc>
        <w:tc>
          <w:tcPr>
            <w:tcW w:w="12606" w:type="dxa"/>
          </w:tcPr>
          <w:p w:rsidR="00ED1706" w:rsidRPr="00ED1706" w:rsidRDefault="00ED1706" w:rsidP="004A6A58">
            <w:pPr>
              <w:pStyle w:val="aa"/>
              <w:rPr>
                <w:b/>
                <w:sz w:val="20"/>
                <w:szCs w:val="20"/>
              </w:rPr>
            </w:pPr>
            <w:proofErr w:type="gramStart"/>
            <w:r w:rsidRPr="00ED1706">
              <w:rPr>
                <w:bCs/>
                <w:color w:val="000000"/>
                <w:sz w:val="20"/>
                <w:szCs w:val="20"/>
              </w:rPr>
              <w:t xml:space="preserve">О внесении изменений в постановление </w:t>
            </w:r>
            <w:r w:rsidRPr="00ED1706">
              <w:rPr>
                <w:sz w:val="20"/>
                <w:szCs w:val="20"/>
              </w:rPr>
              <w:t>№ 563 от 13.05.2024 «</w:t>
            </w:r>
            <w:r w:rsidRPr="00ED1706">
              <w:rPr>
                <w:bCs/>
                <w:color w:val="000000"/>
                <w:sz w:val="20"/>
                <w:szCs w:val="20"/>
              </w:rPr>
              <w:t xml:space="preserve">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субсидий, из  бюджета муниципального образования </w:t>
            </w:r>
            <w:proofErr w:type="spellStart"/>
            <w:r w:rsidRPr="00ED1706">
              <w:rPr>
                <w:bCs/>
                <w:color w:val="000000"/>
                <w:sz w:val="20"/>
                <w:szCs w:val="20"/>
              </w:rPr>
              <w:t>Веневский</w:t>
            </w:r>
            <w:proofErr w:type="spellEnd"/>
            <w:r w:rsidRPr="00ED1706">
              <w:rPr>
                <w:bCs/>
                <w:color w:val="000000"/>
                <w:sz w:val="20"/>
                <w:szCs w:val="20"/>
              </w:rPr>
              <w:t xml:space="preserve"> район»</w:t>
            </w:r>
            <w:proofErr w:type="gramEnd"/>
          </w:p>
        </w:tc>
      </w:tr>
    </w:tbl>
    <w:p w:rsidR="002F10F6" w:rsidRDefault="002F10F6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D3" w:rsidRPr="00D445D3" w:rsidRDefault="00D445D3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муниципального образования </w:t>
      </w:r>
      <w:proofErr w:type="spellStart"/>
      <w:r w:rsidRPr="00D445D3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 муниципальными финансами в муниципальном образовании </w:t>
      </w:r>
      <w:proofErr w:type="spellStart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B570F">
        <w:rPr>
          <w:rFonts w:ascii="Times New Roman" w:eastAsia="Calibri" w:hAnsi="Times New Roman" w:cs="Times New Roman"/>
          <w:b/>
          <w:sz w:val="24"/>
          <w:szCs w:val="24"/>
        </w:rPr>
        <w:t>6 мес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C252C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D445D3" w:rsidRPr="00D445D3" w:rsidRDefault="00D445D3" w:rsidP="00D445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14292" w:type="dxa"/>
        <w:tblLayout w:type="fixed"/>
        <w:tblLook w:val="04A0" w:firstRow="1" w:lastRow="0" w:firstColumn="1" w:lastColumn="0" w:noHBand="0" w:noVBand="1"/>
      </w:tblPr>
      <w:tblGrid>
        <w:gridCol w:w="4929"/>
        <w:gridCol w:w="4929"/>
        <w:gridCol w:w="4434"/>
      </w:tblGrid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цели/задачи/мероприятия/показателя,  с которым связана угроза/риск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угрозы/ риска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 xml:space="preserve">Причина  появления, возможные </w:t>
            </w:r>
            <w:r w:rsidRPr="00D4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устранения</w:t>
            </w:r>
          </w:p>
        </w:tc>
      </w:tr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2557A1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9C1" w:rsidRDefault="004519C1" w:rsidP="005F1945">
      <w:pPr>
        <w:jc w:val="center"/>
      </w:pPr>
    </w:p>
    <w:sectPr w:rsidR="004519C1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4E" w:rsidRDefault="00210F4E" w:rsidP="00E44C5D">
      <w:pPr>
        <w:spacing w:after="0" w:line="240" w:lineRule="auto"/>
      </w:pPr>
      <w:r>
        <w:separator/>
      </w:r>
    </w:p>
  </w:endnote>
  <w:endnote w:type="continuationSeparator" w:id="0">
    <w:p w:rsidR="00210F4E" w:rsidRDefault="00210F4E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Content>
      <w:p w:rsidR="00F55E4D" w:rsidRDefault="00F55E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20">
          <w:rPr>
            <w:noProof/>
          </w:rPr>
          <w:t>15</w:t>
        </w:r>
        <w:r>
          <w:fldChar w:fldCharType="end"/>
        </w:r>
      </w:p>
    </w:sdtContent>
  </w:sdt>
  <w:p w:rsidR="00F55E4D" w:rsidRDefault="00F55E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4E" w:rsidRDefault="00210F4E" w:rsidP="00E44C5D">
      <w:pPr>
        <w:spacing w:after="0" w:line="240" w:lineRule="auto"/>
      </w:pPr>
      <w:r>
        <w:separator/>
      </w:r>
    </w:p>
  </w:footnote>
  <w:footnote w:type="continuationSeparator" w:id="0">
    <w:p w:rsidR="00210F4E" w:rsidRDefault="00210F4E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4D" w:rsidRDefault="00F55E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06E5F"/>
    <w:rsid w:val="00010032"/>
    <w:rsid w:val="00013ADE"/>
    <w:rsid w:val="0001479E"/>
    <w:rsid w:val="00020EBD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704B"/>
    <w:rsid w:val="00037190"/>
    <w:rsid w:val="000407B5"/>
    <w:rsid w:val="0004434D"/>
    <w:rsid w:val="00044C4A"/>
    <w:rsid w:val="00044E45"/>
    <w:rsid w:val="00045C1A"/>
    <w:rsid w:val="00046A55"/>
    <w:rsid w:val="00046EAD"/>
    <w:rsid w:val="00050106"/>
    <w:rsid w:val="00050F2B"/>
    <w:rsid w:val="000529EE"/>
    <w:rsid w:val="00055FE5"/>
    <w:rsid w:val="00056400"/>
    <w:rsid w:val="00057DC4"/>
    <w:rsid w:val="00063914"/>
    <w:rsid w:val="00064BAB"/>
    <w:rsid w:val="000668F7"/>
    <w:rsid w:val="00072DF3"/>
    <w:rsid w:val="00073AAC"/>
    <w:rsid w:val="000757AC"/>
    <w:rsid w:val="00080068"/>
    <w:rsid w:val="00080093"/>
    <w:rsid w:val="00080C2D"/>
    <w:rsid w:val="00080C7F"/>
    <w:rsid w:val="00081B92"/>
    <w:rsid w:val="00084379"/>
    <w:rsid w:val="0008527E"/>
    <w:rsid w:val="000858B1"/>
    <w:rsid w:val="00092415"/>
    <w:rsid w:val="00095768"/>
    <w:rsid w:val="000A04CB"/>
    <w:rsid w:val="000A0E70"/>
    <w:rsid w:val="000A2326"/>
    <w:rsid w:val="000A39E4"/>
    <w:rsid w:val="000A6C57"/>
    <w:rsid w:val="000B2982"/>
    <w:rsid w:val="000B4E3E"/>
    <w:rsid w:val="000B570F"/>
    <w:rsid w:val="000B6D5D"/>
    <w:rsid w:val="000C43BE"/>
    <w:rsid w:val="000C47A8"/>
    <w:rsid w:val="000C47CE"/>
    <w:rsid w:val="000C618A"/>
    <w:rsid w:val="000C6553"/>
    <w:rsid w:val="000C6D8A"/>
    <w:rsid w:val="000C7811"/>
    <w:rsid w:val="000D1938"/>
    <w:rsid w:val="000D1F8C"/>
    <w:rsid w:val="000D1FFF"/>
    <w:rsid w:val="000D33A7"/>
    <w:rsid w:val="000D57E9"/>
    <w:rsid w:val="000D5DAC"/>
    <w:rsid w:val="000D7E15"/>
    <w:rsid w:val="000E0FA6"/>
    <w:rsid w:val="000E18F4"/>
    <w:rsid w:val="000E2781"/>
    <w:rsid w:val="000E2842"/>
    <w:rsid w:val="000E6975"/>
    <w:rsid w:val="000E7675"/>
    <w:rsid w:val="000E79CF"/>
    <w:rsid w:val="000E7D43"/>
    <w:rsid w:val="000E7F70"/>
    <w:rsid w:val="000F24D8"/>
    <w:rsid w:val="000F3B23"/>
    <w:rsid w:val="000F709D"/>
    <w:rsid w:val="000F7602"/>
    <w:rsid w:val="00100632"/>
    <w:rsid w:val="00101220"/>
    <w:rsid w:val="00105794"/>
    <w:rsid w:val="00110ABD"/>
    <w:rsid w:val="00112EB2"/>
    <w:rsid w:val="00113BC6"/>
    <w:rsid w:val="00114C1D"/>
    <w:rsid w:val="001156C5"/>
    <w:rsid w:val="00115F23"/>
    <w:rsid w:val="00123FC8"/>
    <w:rsid w:val="00125913"/>
    <w:rsid w:val="00126C3B"/>
    <w:rsid w:val="00130D46"/>
    <w:rsid w:val="00130F30"/>
    <w:rsid w:val="001320AC"/>
    <w:rsid w:val="00134CFD"/>
    <w:rsid w:val="00135253"/>
    <w:rsid w:val="001353D0"/>
    <w:rsid w:val="00144C6E"/>
    <w:rsid w:val="00152F53"/>
    <w:rsid w:val="00156CE2"/>
    <w:rsid w:val="0016318F"/>
    <w:rsid w:val="0016357A"/>
    <w:rsid w:val="00163EDA"/>
    <w:rsid w:val="001675BE"/>
    <w:rsid w:val="00167E59"/>
    <w:rsid w:val="00173B78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4066"/>
    <w:rsid w:val="001F5E83"/>
    <w:rsid w:val="001F66CD"/>
    <w:rsid w:val="001F7760"/>
    <w:rsid w:val="001F7A92"/>
    <w:rsid w:val="00201FF7"/>
    <w:rsid w:val="00202639"/>
    <w:rsid w:val="002040A0"/>
    <w:rsid w:val="00205CF3"/>
    <w:rsid w:val="002062E5"/>
    <w:rsid w:val="002072C7"/>
    <w:rsid w:val="00210F4E"/>
    <w:rsid w:val="00212225"/>
    <w:rsid w:val="00214C8E"/>
    <w:rsid w:val="00220F09"/>
    <w:rsid w:val="00221042"/>
    <w:rsid w:val="002224FF"/>
    <w:rsid w:val="002251CE"/>
    <w:rsid w:val="00240520"/>
    <w:rsid w:val="00240DE8"/>
    <w:rsid w:val="00243B25"/>
    <w:rsid w:val="002453A6"/>
    <w:rsid w:val="00245B49"/>
    <w:rsid w:val="002557A1"/>
    <w:rsid w:val="00261936"/>
    <w:rsid w:val="00261E4A"/>
    <w:rsid w:val="002633F7"/>
    <w:rsid w:val="0026673C"/>
    <w:rsid w:val="0026702B"/>
    <w:rsid w:val="0026724A"/>
    <w:rsid w:val="00271328"/>
    <w:rsid w:val="00276A4E"/>
    <w:rsid w:val="00281DDD"/>
    <w:rsid w:val="00281F56"/>
    <w:rsid w:val="00282B05"/>
    <w:rsid w:val="00283253"/>
    <w:rsid w:val="00284003"/>
    <w:rsid w:val="00284379"/>
    <w:rsid w:val="00284F51"/>
    <w:rsid w:val="0028529C"/>
    <w:rsid w:val="00290DEF"/>
    <w:rsid w:val="002A1078"/>
    <w:rsid w:val="002A1ADA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7A0B"/>
    <w:rsid w:val="002D3F33"/>
    <w:rsid w:val="002D4BBB"/>
    <w:rsid w:val="002D4D92"/>
    <w:rsid w:val="002D5E95"/>
    <w:rsid w:val="002D5FBE"/>
    <w:rsid w:val="002D6B15"/>
    <w:rsid w:val="002D6E99"/>
    <w:rsid w:val="002E2D28"/>
    <w:rsid w:val="002E310B"/>
    <w:rsid w:val="002F07A1"/>
    <w:rsid w:val="002F10F6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11"/>
    <w:rsid w:val="003252F8"/>
    <w:rsid w:val="00326663"/>
    <w:rsid w:val="00327CE9"/>
    <w:rsid w:val="0033289F"/>
    <w:rsid w:val="00336DE3"/>
    <w:rsid w:val="00337A91"/>
    <w:rsid w:val="00340736"/>
    <w:rsid w:val="00350852"/>
    <w:rsid w:val="003530BF"/>
    <w:rsid w:val="00355C81"/>
    <w:rsid w:val="0036029D"/>
    <w:rsid w:val="00362BFD"/>
    <w:rsid w:val="003648B0"/>
    <w:rsid w:val="00364CCF"/>
    <w:rsid w:val="00366F6C"/>
    <w:rsid w:val="0037269A"/>
    <w:rsid w:val="00373018"/>
    <w:rsid w:val="003771CD"/>
    <w:rsid w:val="00381BF7"/>
    <w:rsid w:val="00382ABA"/>
    <w:rsid w:val="003849C0"/>
    <w:rsid w:val="00387620"/>
    <w:rsid w:val="00390D38"/>
    <w:rsid w:val="003A459C"/>
    <w:rsid w:val="003A5375"/>
    <w:rsid w:val="003A66C8"/>
    <w:rsid w:val="003A7AE2"/>
    <w:rsid w:val="003B1F9F"/>
    <w:rsid w:val="003B5E5F"/>
    <w:rsid w:val="003B7976"/>
    <w:rsid w:val="003C2071"/>
    <w:rsid w:val="003C252C"/>
    <w:rsid w:val="003C262D"/>
    <w:rsid w:val="003C45DB"/>
    <w:rsid w:val="003D37E6"/>
    <w:rsid w:val="003D4B27"/>
    <w:rsid w:val="003D67A8"/>
    <w:rsid w:val="003D6B6A"/>
    <w:rsid w:val="003D76EA"/>
    <w:rsid w:val="003E0168"/>
    <w:rsid w:val="003E1366"/>
    <w:rsid w:val="003E189D"/>
    <w:rsid w:val="003E2CB7"/>
    <w:rsid w:val="003E2D50"/>
    <w:rsid w:val="003E301B"/>
    <w:rsid w:val="003E33DE"/>
    <w:rsid w:val="003E50E3"/>
    <w:rsid w:val="003E68FA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0842"/>
    <w:rsid w:val="004126A6"/>
    <w:rsid w:val="00414184"/>
    <w:rsid w:val="00415221"/>
    <w:rsid w:val="00417D50"/>
    <w:rsid w:val="00421D03"/>
    <w:rsid w:val="00423DFA"/>
    <w:rsid w:val="00425B2A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D7C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0BC5"/>
    <w:rsid w:val="00491437"/>
    <w:rsid w:val="004921D4"/>
    <w:rsid w:val="004942B7"/>
    <w:rsid w:val="004A0DBD"/>
    <w:rsid w:val="004A1128"/>
    <w:rsid w:val="004A1528"/>
    <w:rsid w:val="004A347A"/>
    <w:rsid w:val="004A5C2C"/>
    <w:rsid w:val="004A6A58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0A91"/>
    <w:rsid w:val="004E3E7F"/>
    <w:rsid w:val="004E41B0"/>
    <w:rsid w:val="004E6ED9"/>
    <w:rsid w:val="004E798C"/>
    <w:rsid w:val="004F49F7"/>
    <w:rsid w:val="004F58F7"/>
    <w:rsid w:val="004F75F5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21BDC"/>
    <w:rsid w:val="0052217B"/>
    <w:rsid w:val="00522B58"/>
    <w:rsid w:val="00522E37"/>
    <w:rsid w:val="00525FCA"/>
    <w:rsid w:val="00526328"/>
    <w:rsid w:val="00530EC0"/>
    <w:rsid w:val="00532D31"/>
    <w:rsid w:val="00532EAD"/>
    <w:rsid w:val="00534AB8"/>
    <w:rsid w:val="005434FB"/>
    <w:rsid w:val="005442FB"/>
    <w:rsid w:val="00544AAB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553ED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1939"/>
    <w:rsid w:val="00583655"/>
    <w:rsid w:val="005850F9"/>
    <w:rsid w:val="0059001E"/>
    <w:rsid w:val="00590E0D"/>
    <w:rsid w:val="005913DE"/>
    <w:rsid w:val="00592A55"/>
    <w:rsid w:val="00593058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7C4D"/>
    <w:rsid w:val="005D34F0"/>
    <w:rsid w:val="005D4410"/>
    <w:rsid w:val="005D539D"/>
    <w:rsid w:val="005E0C60"/>
    <w:rsid w:val="005E10E7"/>
    <w:rsid w:val="005E268B"/>
    <w:rsid w:val="005E2F0A"/>
    <w:rsid w:val="005E422F"/>
    <w:rsid w:val="005E46A2"/>
    <w:rsid w:val="005F1945"/>
    <w:rsid w:val="005F4F3A"/>
    <w:rsid w:val="005F5D89"/>
    <w:rsid w:val="00603E2E"/>
    <w:rsid w:val="00611F1A"/>
    <w:rsid w:val="006160DE"/>
    <w:rsid w:val="00616ACC"/>
    <w:rsid w:val="00624BAA"/>
    <w:rsid w:val="0062659A"/>
    <w:rsid w:val="00627BF4"/>
    <w:rsid w:val="006300DC"/>
    <w:rsid w:val="00630136"/>
    <w:rsid w:val="00635069"/>
    <w:rsid w:val="00636572"/>
    <w:rsid w:val="00642609"/>
    <w:rsid w:val="00643427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204C"/>
    <w:rsid w:val="006631C3"/>
    <w:rsid w:val="00663F55"/>
    <w:rsid w:val="00666320"/>
    <w:rsid w:val="00667823"/>
    <w:rsid w:val="006700C6"/>
    <w:rsid w:val="00672371"/>
    <w:rsid w:val="00673AF8"/>
    <w:rsid w:val="00674A73"/>
    <w:rsid w:val="006751BD"/>
    <w:rsid w:val="0067626C"/>
    <w:rsid w:val="00682E76"/>
    <w:rsid w:val="00684445"/>
    <w:rsid w:val="006850D5"/>
    <w:rsid w:val="00690721"/>
    <w:rsid w:val="006937F1"/>
    <w:rsid w:val="006949BF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D1069"/>
    <w:rsid w:val="006D1723"/>
    <w:rsid w:val="006D4657"/>
    <w:rsid w:val="006E2723"/>
    <w:rsid w:val="006E460F"/>
    <w:rsid w:val="006E6457"/>
    <w:rsid w:val="006E7896"/>
    <w:rsid w:val="006E7A8B"/>
    <w:rsid w:val="006F24AB"/>
    <w:rsid w:val="006F3C72"/>
    <w:rsid w:val="006F66A8"/>
    <w:rsid w:val="006F75B2"/>
    <w:rsid w:val="006F7FF5"/>
    <w:rsid w:val="007002E7"/>
    <w:rsid w:val="00701A3B"/>
    <w:rsid w:val="00702172"/>
    <w:rsid w:val="00707035"/>
    <w:rsid w:val="00707F79"/>
    <w:rsid w:val="00713FBB"/>
    <w:rsid w:val="00714D4F"/>
    <w:rsid w:val="00716684"/>
    <w:rsid w:val="007170D0"/>
    <w:rsid w:val="00721B0B"/>
    <w:rsid w:val="00722587"/>
    <w:rsid w:val="00723CEA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1AC9"/>
    <w:rsid w:val="00752E36"/>
    <w:rsid w:val="0075508A"/>
    <w:rsid w:val="00756132"/>
    <w:rsid w:val="00756521"/>
    <w:rsid w:val="00766B8E"/>
    <w:rsid w:val="00766BEF"/>
    <w:rsid w:val="00771697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4E5E"/>
    <w:rsid w:val="0079533E"/>
    <w:rsid w:val="00796865"/>
    <w:rsid w:val="00796BC8"/>
    <w:rsid w:val="007A3814"/>
    <w:rsid w:val="007A4214"/>
    <w:rsid w:val="007A5BC7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5004"/>
    <w:rsid w:val="00826911"/>
    <w:rsid w:val="00830A65"/>
    <w:rsid w:val="00834855"/>
    <w:rsid w:val="00843200"/>
    <w:rsid w:val="00843227"/>
    <w:rsid w:val="00844133"/>
    <w:rsid w:val="0084525C"/>
    <w:rsid w:val="0084598F"/>
    <w:rsid w:val="00846006"/>
    <w:rsid w:val="00850D2D"/>
    <w:rsid w:val="00853EFC"/>
    <w:rsid w:val="00853F87"/>
    <w:rsid w:val="008553F6"/>
    <w:rsid w:val="0085545D"/>
    <w:rsid w:val="00862193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3C40"/>
    <w:rsid w:val="008A73E8"/>
    <w:rsid w:val="008A7A24"/>
    <w:rsid w:val="008B0A5A"/>
    <w:rsid w:val="008B3198"/>
    <w:rsid w:val="008B5097"/>
    <w:rsid w:val="008B693D"/>
    <w:rsid w:val="008C52C9"/>
    <w:rsid w:val="008D0069"/>
    <w:rsid w:val="008D08E5"/>
    <w:rsid w:val="008D3F00"/>
    <w:rsid w:val="008D446D"/>
    <w:rsid w:val="008E0A25"/>
    <w:rsid w:val="008E0C75"/>
    <w:rsid w:val="008E1B21"/>
    <w:rsid w:val="008E2D49"/>
    <w:rsid w:val="008E516A"/>
    <w:rsid w:val="008E5CF4"/>
    <w:rsid w:val="008E6FDA"/>
    <w:rsid w:val="008F124E"/>
    <w:rsid w:val="008F28E2"/>
    <w:rsid w:val="008F3408"/>
    <w:rsid w:val="008F4AFF"/>
    <w:rsid w:val="008F673C"/>
    <w:rsid w:val="00904566"/>
    <w:rsid w:val="0090555C"/>
    <w:rsid w:val="00905BC2"/>
    <w:rsid w:val="00906A3E"/>
    <w:rsid w:val="00911808"/>
    <w:rsid w:val="00912D2D"/>
    <w:rsid w:val="009148A7"/>
    <w:rsid w:val="00924A66"/>
    <w:rsid w:val="0092741B"/>
    <w:rsid w:val="0092779B"/>
    <w:rsid w:val="0093057C"/>
    <w:rsid w:val="0093289A"/>
    <w:rsid w:val="00934541"/>
    <w:rsid w:val="00934705"/>
    <w:rsid w:val="00937779"/>
    <w:rsid w:val="00937D71"/>
    <w:rsid w:val="009425CD"/>
    <w:rsid w:val="00942C43"/>
    <w:rsid w:val="00943300"/>
    <w:rsid w:val="00944106"/>
    <w:rsid w:val="0094452A"/>
    <w:rsid w:val="009515EC"/>
    <w:rsid w:val="009532D4"/>
    <w:rsid w:val="009546B4"/>
    <w:rsid w:val="00954E91"/>
    <w:rsid w:val="0095562A"/>
    <w:rsid w:val="0095569D"/>
    <w:rsid w:val="00955EAF"/>
    <w:rsid w:val="00956B93"/>
    <w:rsid w:val="00957722"/>
    <w:rsid w:val="00962AB0"/>
    <w:rsid w:val="009631BA"/>
    <w:rsid w:val="00965620"/>
    <w:rsid w:val="00965FFA"/>
    <w:rsid w:val="009661E0"/>
    <w:rsid w:val="0097548D"/>
    <w:rsid w:val="00981329"/>
    <w:rsid w:val="0098149B"/>
    <w:rsid w:val="009815FC"/>
    <w:rsid w:val="009828C8"/>
    <w:rsid w:val="009838D3"/>
    <w:rsid w:val="00983F32"/>
    <w:rsid w:val="009909CF"/>
    <w:rsid w:val="009922C2"/>
    <w:rsid w:val="00995860"/>
    <w:rsid w:val="009962D3"/>
    <w:rsid w:val="009A0E12"/>
    <w:rsid w:val="009A21C0"/>
    <w:rsid w:val="009A5DD9"/>
    <w:rsid w:val="009A79C0"/>
    <w:rsid w:val="009B0112"/>
    <w:rsid w:val="009B1499"/>
    <w:rsid w:val="009B1AEB"/>
    <w:rsid w:val="009B27FC"/>
    <w:rsid w:val="009C4A4E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3E1"/>
    <w:rsid w:val="00A42BA2"/>
    <w:rsid w:val="00A43C4B"/>
    <w:rsid w:val="00A44553"/>
    <w:rsid w:val="00A45A46"/>
    <w:rsid w:val="00A4703F"/>
    <w:rsid w:val="00A47477"/>
    <w:rsid w:val="00A50817"/>
    <w:rsid w:val="00A525C5"/>
    <w:rsid w:val="00A52FD3"/>
    <w:rsid w:val="00A540B3"/>
    <w:rsid w:val="00A5477A"/>
    <w:rsid w:val="00A6152A"/>
    <w:rsid w:val="00A64DEB"/>
    <w:rsid w:val="00A6558E"/>
    <w:rsid w:val="00A70B42"/>
    <w:rsid w:val="00A725ED"/>
    <w:rsid w:val="00A73EBF"/>
    <w:rsid w:val="00A92024"/>
    <w:rsid w:val="00AA7A1D"/>
    <w:rsid w:val="00AB0C71"/>
    <w:rsid w:val="00AB18D7"/>
    <w:rsid w:val="00AB1E5A"/>
    <w:rsid w:val="00AB2C57"/>
    <w:rsid w:val="00AB4B87"/>
    <w:rsid w:val="00AB4BAB"/>
    <w:rsid w:val="00AB68EA"/>
    <w:rsid w:val="00AC1581"/>
    <w:rsid w:val="00AC4248"/>
    <w:rsid w:val="00AD132A"/>
    <w:rsid w:val="00AD1E94"/>
    <w:rsid w:val="00AD2932"/>
    <w:rsid w:val="00AD2B79"/>
    <w:rsid w:val="00AD38D0"/>
    <w:rsid w:val="00AD58B2"/>
    <w:rsid w:val="00AE0269"/>
    <w:rsid w:val="00AE1A95"/>
    <w:rsid w:val="00AE1E87"/>
    <w:rsid w:val="00AE57E6"/>
    <w:rsid w:val="00AF4DB2"/>
    <w:rsid w:val="00AF580D"/>
    <w:rsid w:val="00AF6544"/>
    <w:rsid w:val="00B02C38"/>
    <w:rsid w:val="00B045F6"/>
    <w:rsid w:val="00B06125"/>
    <w:rsid w:val="00B06E0E"/>
    <w:rsid w:val="00B1322A"/>
    <w:rsid w:val="00B1566B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0F04"/>
    <w:rsid w:val="00B81B30"/>
    <w:rsid w:val="00B85A34"/>
    <w:rsid w:val="00B9088F"/>
    <w:rsid w:val="00B91129"/>
    <w:rsid w:val="00B91C94"/>
    <w:rsid w:val="00B93188"/>
    <w:rsid w:val="00B93D97"/>
    <w:rsid w:val="00B94213"/>
    <w:rsid w:val="00B95646"/>
    <w:rsid w:val="00B95DC0"/>
    <w:rsid w:val="00B96130"/>
    <w:rsid w:val="00B963A3"/>
    <w:rsid w:val="00BA7614"/>
    <w:rsid w:val="00BB1210"/>
    <w:rsid w:val="00BB23ED"/>
    <w:rsid w:val="00BB487B"/>
    <w:rsid w:val="00BB72C9"/>
    <w:rsid w:val="00BC1A5C"/>
    <w:rsid w:val="00BC740F"/>
    <w:rsid w:val="00BC7ACA"/>
    <w:rsid w:val="00BD08B7"/>
    <w:rsid w:val="00BD208A"/>
    <w:rsid w:val="00BD2602"/>
    <w:rsid w:val="00BD3FE3"/>
    <w:rsid w:val="00BD4C5F"/>
    <w:rsid w:val="00BE1510"/>
    <w:rsid w:val="00BE1A00"/>
    <w:rsid w:val="00BE670F"/>
    <w:rsid w:val="00BE6749"/>
    <w:rsid w:val="00BE7388"/>
    <w:rsid w:val="00BF47C7"/>
    <w:rsid w:val="00C00F3E"/>
    <w:rsid w:val="00C04016"/>
    <w:rsid w:val="00C044A8"/>
    <w:rsid w:val="00C05919"/>
    <w:rsid w:val="00C0790B"/>
    <w:rsid w:val="00C0791F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29DA"/>
    <w:rsid w:val="00C57737"/>
    <w:rsid w:val="00C639F5"/>
    <w:rsid w:val="00C7210D"/>
    <w:rsid w:val="00C731FB"/>
    <w:rsid w:val="00C739E6"/>
    <w:rsid w:val="00C73B6F"/>
    <w:rsid w:val="00C7633E"/>
    <w:rsid w:val="00C77511"/>
    <w:rsid w:val="00C779EE"/>
    <w:rsid w:val="00C80BB0"/>
    <w:rsid w:val="00C82EBD"/>
    <w:rsid w:val="00C858D8"/>
    <w:rsid w:val="00C85FBA"/>
    <w:rsid w:val="00C86CC0"/>
    <w:rsid w:val="00C909CD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049A"/>
    <w:rsid w:val="00CB111F"/>
    <w:rsid w:val="00CB32E9"/>
    <w:rsid w:val="00CB385D"/>
    <w:rsid w:val="00CB5E05"/>
    <w:rsid w:val="00CB730F"/>
    <w:rsid w:val="00CC2462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5FC2"/>
    <w:rsid w:val="00CE64E5"/>
    <w:rsid w:val="00CF0704"/>
    <w:rsid w:val="00CF1D65"/>
    <w:rsid w:val="00CF26CB"/>
    <w:rsid w:val="00CF3087"/>
    <w:rsid w:val="00CF31C1"/>
    <w:rsid w:val="00D00968"/>
    <w:rsid w:val="00D025BD"/>
    <w:rsid w:val="00D03A24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32EFB"/>
    <w:rsid w:val="00D42124"/>
    <w:rsid w:val="00D445D3"/>
    <w:rsid w:val="00D44C30"/>
    <w:rsid w:val="00D46BEE"/>
    <w:rsid w:val="00D503BD"/>
    <w:rsid w:val="00D51044"/>
    <w:rsid w:val="00D556D4"/>
    <w:rsid w:val="00D56378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8009F"/>
    <w:rsid w:val="00D805D4"/>
    <w:rsid w:val="00D80DFD"/>
    <w:rsid w:val="00D8357F"/>
    <w:rsid w:val="00D858BE"/>
    <w:rsid w:val="00D8665B"/>
    <w:rsid w:val="00D86980"/>
    <w:rsid w:val="00D91063"/>
    <w:rsid w:val="00D93BE3"/>
    <w:rsid w:val="00D9615D"/>
    <w:rsid w:val="00DA066E"/>
    <w:rsid w:val="00DA4174"/>
    <w:rsid w:val="00DA5885"/>
    <w:rsid w:val="00DA70AC"/>
    <w:rsid w:val="00DB285C"/>
    <w:rsid w:val="00DB2E08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63E5"/>
    <w:rsid w:val="00E278E4"/>
    <w:rsid w:val="00E32002"/>
    <w:rsid w:val="00E32147"/>
    <w:rsid w:val="00E323D7"/>
    <w:rsid w:val="00E33535"/>
    <w:rsid w:val="00E3377B"/>
    <w:rsid w:val="00E33AD0"/>
    <w:rsid w:val="00E3782F"/>
    <w:rsid w:val="00E41909"/>
    <w:rsid w:val="00E44C5D"/>
    <w:rsid w:val="00E533AF"/>
    <w:rsid w:val="00E568C8"/>
    <w:rsid w:val="00E56D3A"/>
    <w:rsid w:val="00E601A5"/>
    <w:rsid w:val="00E66301"/>
    <w:rsid w:val="00E666AE"/>
    <w:rsid w:val="00E67396"/>
    <w:rsid w:val="00E7391F"/>
    <w:rsid w:val="00E74882"/>
    <w:rsid w:val="00E75BCF"/>
    <w:rsid w:val="00E81195"/>
    <w:rsid w:val="00E81DFF"/>
    <w:rsid w:val="00E84014"/>
    <w:rsid w:val="00E91E9F"/>
    <w:rsid w:val="00EA0F77"/>
    <w:rsid w:val="00EA22C6"/>
    <w:rsid w:val="00EA7353"/>
    <w:rsid w:val="00EB0B91"/>
    <w:rsid w:val="00EC219C"/>
    <w:rsid w:val="00EC33DF"/>
    <w:rsid w:val="00EC4175"/>
    <w:rsid w:val="00EC5C27"/>
    <w:rsid w:val="00EC6100"/>
    <w:rsid w:val="00EC6ACF"/>
    <w:rsid w:val="00EC6B54"/>
    <w:rsid w:val="00ED1706"/>
    <w:rsid w:val="00ED5601"/>
    <w:rsid w:val="00ED72BB"/>
    <w:rsid w:val="00EE55C3"/>
    <w:rsid w:val="00EE5E9A"/>
    <w:rsid w:val="00EF12BB"/>
    <w:rsid w:val="00EF2FF1"/>
    <w:rsid w:val="00EF3048"/>
    <w:rsid w:val="00EF4273"/>
    <w:rsid w:val="00F000DA"/>
    <w:rsid w:val="00F023B0"/>
    <w:rsid w:val="00F02EA6"/>
    <w:rsid w:val="00F03DC4"/>
    <w:rsid w:val="00F10856"/>
    <w:rsid w:val="00F12460"/>
    <w:rsid w:val="00F134D9"/>
    <w:rsid w:val="00F213D6"/>
    <w:rsid w:val="00F247CC"/>
    <w:rsid w:val="00F260F9"/>
    <w:rsid w:val="00F27115"/>
    <w:rsid w:val="00F3163D"/>
    <w:rsid w:val="00F34ADF"/>
    <w:rsid w:val="00F35920"/>
    <w:rsid w:val="00F359C6"/>
    <w:rsid w:val="00F41726"/>
    <w:rsid w:val="00F449CB"/>
    <w:rsid w:val="00F44CCC"/>
    <w:rsid w:val="00F45D9C"/>
    <w:rsid w:val="00F50E35"/>
    <w:rsid w:val="00F52F7C"/>
    <w:rsid w:val="00F55A09"/>
    <w:rsid w:val="00F55E4D"/>
    <w:rsid w:val="00F57236"/>
    <w:rsid w:val="00F61185"/>
    <w:rsid w:val="00F61B19"/>
    <w:rsid w:val="00F6529E"/>
    <w:rsid w:val="00F653A4"/>
    <w:rsid w:val="00F6624A"/>
    <w:rsid w:val="00F70A54"/>
    <w:rsid w:val="00F712EF"/>
    <w:rsid w:val="00F720DB"/>
    <w:rsid w:val="00F73A26"/>
    <w:rsid w:val="00F75520"/>
    <w:rsid w:val="00F75952"/>
    <w:rsid w:val="00F819CC"/>
    <w:rsid w:val="00F91573"/>
    <w:rsid w:val="00F927F2"/>
    <w:rsid w:val="00F931EA"/>
    <w:rsid w:val="00F95DD2"/>
    <w:rsid w:val="00FA2288"/>
    <w:rsid w:val="00FA3738"/>
    <w:rsid w:val="00FA7436"/>
    <w:rsid w:val="00FB08A0"/>
    <w:rsid w:val="00FB19CC"/>
    <w:rsid w:val="00FB28F1"/>
    <w:rsid w:val="00FB3A19"/>
    <w:rsid w:val="00FB421B"/>
    <w:rsid w:val="00FB5EEC"/>
    <w:rsid w:val="00FB6A9C"/>
    <w:rsid w:val="00FC1236"/>
    <w:rsid w:val="00FC19FD"/>
    <w:rsid w:val="00FC3EC3"/>
    <w:rsid w:val="00FC6A62"/>
    <w:rsid w:val="00FD071D"/>
    <w:rsid w:val="00FD1080"/>
    <w:rsid w:val="00FD29A8"/>
    <w:rsid w:val="00FD524F"/>
    <w:rsid w:val="00FE3C1E"/>
    <w:rsid w:val="00FF17DF"/>
    <w:rsid w:val="00FF276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  <w:style w:type="paragraph" w:customStyle="1" w:styleId="ConsPlusTitle">
    <w:name w:val="ConsPlusTitle"/>
    <w:rsid w:val="00ED1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0E7E-75A6-487B-9D67-6E3AF19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17632</TotalTime>
  <Pages>20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111</cp:revision>
  <cp:lastPrinted>2024-07-05T13:37:00Z</cp:lastPrinted>
  <dcterms:created xsi:type="dcterms:W3CDTF">2017-01-19T11:42:00Z</dcterms:created>
  <dcterms:modified xsi:type="dcterms:W3CDTF">2024-07-11T08:14:00Z</dcterms:modified>
</cp:coreProperties>
</file>