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2019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выплачен в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>25,8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>5,5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2C0C83">
        <w:rPr>
          <w:rFonts w:ascii="Times New Roman" w:hAnsi="Times New Roman" w:cs="Times New Roman"/>
          <w:sz w:val="28"/>
          <w:szCs w:val="28"/>
        </w:rPr>
        <w:t>,1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2019 году планируется завершить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29,90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26,91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2,99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настоящее время работы по строительству  детского сада активно ведутся, завершилось возведение второго этажа.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587</w:t>
      </w:r>
      <w:r w:rsidR="002C0C83">
        <w:rPr>
          <w:rFonts w:ascii="Times New Roman" w:hAnsi="Times New Roman" w:cs="Times New Roman"/>
          <w:sz w:val="28"/>
          <w:szCs w:val="28"/>
        </w:rPr>
        <w:t>,3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 за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202,5 млн.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383,7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DC7667">
        <w:rPr>
          <w:rFonts w:ascii="Times New Roman" w:hAnsi="Times New Roman" w:cs="Times New Roman"/>
          <w:sz w:val="28"/>
          <w:szCs w:val="28"/>
        </w:rPr>
        <w:lastRenderedPageBreak/>
        <w:t xml:space="preserve">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1,</w:t>
      </w:r>
      <w:r w:rsidR="00BF16AD">
        <w:rPr>
          <w:rFonts w:ascii="Times New Roman" w:hAnsi="Times New Roman" w:cs="Times New Roman"/>
          <w:sz w:val="28"/>
          <w:szCs w:val="28"/>
        </w:rPr>
        <w:t>1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6AD">
        <w:rPr>
          <w:rFonts w:ascii="Times New Roman" w:hAnsi="Times New Roman" w:cs="Times New Roman"/>
          <w:color w:val="000000" w:themeColor="text1"/>
          <w:sz w:val="28"/>
          <w:szCs w:val="28"/>
        </w:rPr>
        <w:t>15,7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запланированы мероприятия по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в микрорайоне «Северный» </w:t>
      </w:r>
      <w:r w:rsidR="005E30B5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, мест массового отдыха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(городской парк)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7 млн. руб.</w:t>
      </w:r>
      <w:r w:rsidR="00D9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бюджета МО г. Венев).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7,11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</w:t>
      </w:r>
      <w:r w:rsidR="00687762" w:rsidRPr="00687762">
        <w:rPr>
          <w:rFonts w:ascii="Times New Roman" w:hAnsi="Times New Roman" w:cs="Times New Roman"/>
          <w:sz w:val="28"/>
          <w:szCs w:val="28"/>
        </w:rPr>
        <w:lastRenderedPageBreak/>
        <w:t>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01.02.2019  203,2 </w:t>
      </w:r>
      <w:proofErr w:type="spellStart"/>
      <w:r w:rsidR="008153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 xml:space="preserve">(3%)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241229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реконструкцию водопроводных сетей в  пос. </w:t>
      </w:r>
      <w:proofErr w:type="spellStart"/>
      <w:r w:rsidR="0024122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41229">
        <w:rPr>
          <w:rFonts w:ascii="Times New Roman" w:hAnsi="Times New Roman" w:cs="Times New Roman"/>
          <w:sz w:val="28"/>
          <w:szCs w:val="28"/>
        </w:rPr>
        <w:t xml:space="preserve">, пос. Мордвес, строительство станции очистки воды в пос. </w:t>
      </w:r>
      <w:proofErr w:type="spellStart"/>
      <w:r w:rsidR="0024122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24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49,1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 (ул.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автодороги в  МО Центральное,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за январь 2019 </w:t>
      </w:r>
      <w:r w:rsidR="00E930C5">
        <w:rPr>
          <w:rFonts w:ascii="Times New Roman" w:hAnsi="Times New Roman" w:cs="Times New Roman"/>
          <w:sz w:val="28"/>
          <w:szCs w:val="28"/>
        </w:rPr>
        <w:t xml:space="preserve">1,4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</w:t>
      </w:r>
      <w:r w:rsidR="004D28E6">
        <w:rPr>
          <w:rFonts w:ascii="Times New Roman" w:hAnsi="Times New Roman" w:cs="Times New Roman"/>
          <w:sz w:val="28"/>
          <w:szCs w:val="28"/>
        </w:rPr>
        <w:lastRenderedPageBreak/>
        <w:t xml:space="preserve">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13,1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0,4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3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505,2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-5,1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(предоставление доступа в сеть Интернет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-500,1 </w:t>
      </w:r>
      <w:proofErr w:type="spell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62,9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– 55,8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4,5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2,6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16,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-4,2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клубного типа – 40,6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муниципальной программы – 2,0 </w:t>
      </w:r>
      <w:proofErr w:type="spellStart"/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2019 года 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1,9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1,5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(коммунальные услуги  учреждений культуры</w:t>
      </w:r>
      <w:r w:rsidR="00670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плата работников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 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31213,02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29340,20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январь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31224,7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29653,33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31607"/>
    <w:rsid w:val="000975A7"/>
    <w:rsid w:val="000A64CA"/>
    <w:rsid w:val="000D34C6"/>
    <w:rsid w:val="001131CC"/>
    <w:rsid w:val="0012319A"/>
    <w:rsid w:val="00136234"/>
    <w:rsid w:val="001501F1"/>
    <w:rsid w:val="00183426"/>
    <w:rsid w:val="001A5AD4"/>
    <w:rsid w:val="001C25EC"/>
    <w:rsid w:val="001E4188"/>
    <w:rsid w:val="001F2311"/>
    <w:rsid w:val="001F347F"/>
    <w:rsid w:val="00226C6D"/>
    <w:rsid w:val="00241229"/>
    <w:rsid w:val="00241F7A"/>
    <w:rsid w:val="00252EB4"/>
    <w:rsid w:val="00284902"/>
    <w:rsid w:val="002C0C83"/>
    <w:rsid w:val="002D0197"/>
    <w:rsid w:val="002D7E4B"/>
    <w:rsid w:val="002F720D"/>
    <w:rsid w:val="002F77D1"/>
    <w:rsid w:val="003012F6"/>
    <w:rsid w:val="00333210"/>
    <w:rsid w:val="00347E98"/>
    <w:rsid w:val="0035522B"/>
    <w:rsid w:val="003651A2"/>
    <w:rsid w:val="003B572F"/>
    <w:rsid w:val="00472214"/>
    <w:rsid w:val="004B03A3"/>
    <w:rsid w:val="004D28E6"/>
    <w:rsid w:val="0051227F"/>
    <w:rsid w:val="005345B7"/>
    <w:rsid w:val="00553D15"/>
    <w:rsid w:val="0057254A"/>
    <w:rsid w:val="005C5B4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70069D"/>
    <w:rsid w:val="0071457D"/>
    <w:rsid w:val="007248D0"/>
    <w:rsid w:val="00740DC6"/>
    <w:rsid w:val="00760293"/>
    <w:rsid w:val="007657F4"/>
    <w:rsid w:val="00765C56"/>
    <w:rsid w:val="00783FA8"/>
    <w:rsid w:val="007908E2"/>
    <w:rsid w:val="00792480"/>
    <w:rsid w:val="007E4782"/>
    <w:rsid w:val="00803633"/>
    <w:rsid w:val="0081422C"/>
    <w:rsid w:val="00815386"/>
    <w:rsid w:val="00841E58"/>
    <w:rsid w:val="008A41D5"/>
    <w:rsid w:val="008A7C8A"/>
    <w:rsid w:val="009003D2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C0500"/>
    <w:rsid w:val="00AC0E3C"/>
    <w:rsid w:val="00AD56C0"/>
    <w:rsid w:val="00B17EB2"/>
    <w:rsid w:val="00B928BE"/>
    <w:rsid w:val="00BB0101"/>
    <w:rsid w:val="00BF16AD"/>
    <w:rsid w:val="00C64C49"/>
    <w:rsid w:val="00C76C9A"/>
    <w:rsid w:val="00C811BB"/>
    <w:rsid w:val="00C82A7E"/>
    <w:rsid w:val="00C87E42"/>
    <w:rsid w:val="00CE2BA7"/>
    <w:rsid w:val="00D17B46"/>
    <w:rsid w:val="00D53D1C"/>
    <w:rsid w:val="00D63DF6"/>
    <w:rsid w:val="00D92346"/>
    <w:rsid w:val="00D963B9"/>
    <w:rsid w:val="00DC7667"/>
    <w:rsid w:val="00DE1926"/>
    <w:rsid w:val="00E142F1"/>
    <w:rsid w:val="00E40C9D"/>
    <w:rsid w:val="00E40FD7"/>
    <w:rsid w:val="00E42612"/>
    <w:rsid w:val="00E64BA5"/>
    <w:rsid w:val="00E86AB4"/>
    <w:rsid w:val="00E930C5"/>
    <w:rsid w:val="00EE27F6"/>
    <w:rsid w:val="00EF0591"/>
    <w:rsid w:val="00F02193"/>
    <w:rsid w:val="00F11025"/>
    <w:rsid w:val="00F3744E"/>
    <w:rsid w:val="00FB3186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7445-E8C8-41EE-BAAB-796021C5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2019-02-07T14:01:00Z</cp:lastPrinted>
  <dcterms:created xsi:type="dcterms:W3CDTF">2018-12-17T07:22:00Z</dcterms:created>
  <dcterms:modified xsi:type="dcterms:W3CDTF">2019-02-07T14:27:00Z</dcterms:modified>
</cp:coreProperties>
</file>